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F078" w14:textId="77777777" w:rsidR="009A0128" w:rsidRDefault="00000000">
      <w:pPr>
        <w:framePr w:w="2140" w:h="470" w:wrap="auto" w:vAnchor="page" w:hAnchor="page" w:x="1240" w:y="3828"/>
        <w:spacing w:line="233" w:lineRule="auto"/>
        <w:rPr>
          <w:rFonts w:eastAsia="Times New Roman"/>
          <w:b/>
          <w:bCs/>
          <w:i/>
          <w:iCs/>
          <w:sz w:val="21"/>
          <w:szCs w:val="21"/>
        </w:rPr>
      </w:pPr>
      <w:r>
        <w:rPr>
          <w:rFonts w:eastAsia="Times New Roman"/>
          <w:b/>
          <w:bCs/>
          <w:sz w:val="21"/>
          <w:szCs w:val="21"/>
        </w:rPr>
        <w:t xml:space="preserve">Dechert LLP </w:t>
      </w:r>
      <w:r>
        <w:rPr>
          <w:rFonts w:eastAsia="Times New Roman"/>
          <w:b/>
          <w:bCs/>
          <w:i/>
          <w:iCs/>
          <w:sz w:val="21"/>
          <w:szCs w:val="21"/>
        </w:rPr>
        <w:t>Financial Coordinator</w:t>
      </w:r>
    </w:p>
    <w:p w14:paraId="61530E0C" w14:textId="54609A41" w:rsidR="009A0128" w:rsidRDefault="00184DAA">
      <w:pPr>
        <w:ind w:right="-39"/>
        <w:jc w:val="center"/>
        <w:rPr>
          <w:sz w:val="20"/>
          <w:szCs w:val="20"/>
        </w:rPr>
      </w:pPr>
      <w:r>
        <w:rPr>
          <w:rFonts w:eastAsia="Times New Roman"/>
          <w:b/>
          <w:bCs/>
          <w:sz w:val="28"/>
          <w:szCs w:val="28"/>
        </w:rPr>
        <w:t>Candidate 81219</w:t>
      </w:r>
    </w:p>
    <w:p w14:paraId="4A4ED646" w14:textId="77777777" w:rsidR="009A0128" w:rsidRDefault="009A0128">
      <w:pPr>
        <w:spacing w:line="60" w:lineRule="exact"/>
        <w:rPr>
          <w:rFonts w:eastAsia="Times New Roman"/>
          <w:b/>
          <w:bCs/>
          <w:i/>
          <w:iCs/>
          <w:sz w:val="21"/>
          <w:szCs w:val="21"/>
        </w:rPr>
      </w:pPr>
    </w:p>
    <w:p w14:paraId="4D7F1531" w14:textId="0955A80F" w:rsidR="009A0128" w:rsidRDefault="00184DAA">
      <w:pPr>
        <w:jc w:val="center"/>
        <w:rPr>
          <w:sz w:val="20"/>
          <w:szCs w:val="20"/>
        </w:rPr>
      </w:pPr>
      <w:r>
        <w:rPr>
          <w:rFonts w:eastAsia="Times New Roman"/>
          <w:sz w:val="20"/>
          <w:szCs w:val="20"/>
        </w:rPr>
        <w:t>City Personnel | (401)331-2311</w:t>
      </w:r>
    </w:p>
    <w:p w14:paraId="1F5CE9DF" w14:textId="77777777" w:rsidR="009A0128" w:rsidRDefault="00000000">
      <w:pPr>
        <w:spacing w:line="20" w:lineRule="exact"/>
        <w:rPr>
          <w:rFonts w:eastAsia="Times New Roman"/>
          <w:b/>
          <w:bCs/>
          <w:i/>
          <w:iCs/>
          <w:sz w:val="21"/>
          <w:szCs w:val="21"/>
        </w:rPr>
      </w:pPr>
      <w:r>
        <w:rPr>
          <w:rFonts w:eastAsia="Times New Roman"/>
          <w:b/>
          <w:bCs/>
          <w:i/>
          <w:iCs/>
          <w:noProof/>
          <w:sz w:val="21"/>
          <w:szCs w:val="21"/>
        </w:rPr>
        <w:drawing>
          <wp:anchor distT="0" distB="0" distL="114300" distR="114300" simplePos="0" relativeHeight="251657216" behindDoc="1" locked="0" layoutInCell="0" allowOverlap="1" wp14:anchorId="03B981B1" wp14:editId="7EB11B1E">
            <wp:simplePos x="0" y="0"/>
            <wp:positionH relativeFrom="column">
              <wp:posOffset>-16510</wp:posOffset>
            </wp:positionH>
            <wp:positionV relativeFrom="paragraph">
              <wp:posOffset>10160</wp:posOffset>
            </wp:positionV>
            <wp:extent cx="687641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76415" cy="6350"/>
                    </a:xfrm>
                    <a:prstGeom prst="rect">
                      <a:avLst/>
                    </a:prstGeom>
                    <a:noFill/>
                  </pic:spPr>
                </pic:pic>
              </a:graphicData>
            </a:graphic>
          </wp:anchor>
        </w:drawing>
      </w:r>
    </w:p>
    <w:p w14:paraId="4A84C729" w14:textId="77777777" w:rsidR="009A0128" w:rsidRDefault="009A0128">
      <w:pPr>
        <w:spacing w:line="129" w:lineRule="exact"/>
        <w:rPr>
          <w:rFonts w:eastAsia="Times New Roman"/>
          <w:b/>
          <w:bCs/>
          <w:i/>
          <w:iCs/>
          <w:sz w:val="21"/>
          <w:szCs w:val="21"/>
        </w:rPr>
      </w:pPr>
    </w:p>
    <w:p w14:paraId="62D93DBE" w14:textId="77777777" w:rsidR="009A0128" w:rsidRDefault="00000000">
      <w:pPr>
        <w:ind w:right="-19"/>
        <w:jc w:val="center"/>
        <w:rPr>
          <w:sz w:val="20"/>
          <w:szCs w:val="20"/>
        </w:rPr>
      </w:pPr>
      <w:r>
        <w:rPr>
          <w:rFonts w:eastAsia="Times New Roman"/>
          <w:b/>
          <w:bCs/>
          <w:sz w:val="21"/>
          <w:szCs w:val="21"/>
        </w:rPr>
        <w:t>Experience</w:t>
      </w:r>
    </w:p>
    <w:p w14:paraId="432297A9" w14:textId="77777777" w:rsidR="009A0128" w:rsidRDefault="009A0128">
      <w:pPr>
        <w:spacing w:line="55" w:lineRule="exact"/>
        <w:rPr>
          <w:rFonts w:eastAsia="Times New Roman"/>
          <w:b/>
          <w:bCs/>
          <w:i/>
          <w:iCs/>
          <w:sz w:val="21"/>
          <w:szCs w:val="21"/>
        </w:rPr>
      </w:pPr>
    </w:p>
    <w:p w14:paraId="21210EFB" w14:textId="77777777" w:rsidR="009A0128" w:rsidRDefault="00000000">
      <w:pPr>
        <w:tabs>
          <w:tab w:val="left" w:pos="10080"/>
        </w:tabs>
        <w:ind w:left="560"/>
        <w:rPr>
          <w:sz w:val="20"/>
          <w:szCs w:val="20"/>
        </w:rPr>
      </w:pPr>
      <w:r>
        <w:rPr>
          <w:rFonts w:eastAsia="Times New Roman"/>
          <w:b/>
          <w:bCs/>
        </w:rPr>
        <w:t>UN Institute for Disarmament Research (UNIDIR)</w:t>
      </w:r>
      <w:r>
        <w:rPr>
          <w:sz w:val="20"/>
          <w:szCs w:val="20"/>
        </w:rPr>
        <w:tab/>
      </w:r>
      <w:r>
        <w:rPr>
          <w:rFonts w:eastAsia="Times New Roman"/>
          <w:sz w:val="21"/>
          <w:szCs w:val="21"/>
        </w:rPr>
        <w:t>Remote</w:t>
      </w:r>
    </w:p>
    <w:p w14:paraId="0C486BD5" w14:textId="77777777" w:rsidR="009A0128" w:rsidRDefault="009A0128">
      <w:pPr>
        <w:spacing w:line="52" w:lineRule="exact"/>
        <w:rPr>
          <w:rFonts w:eastAsia="Times New Roman"/>
          <w:b/>
          <w:bCs/>
          <w:i/>
          <w:iCs/>
          <w:sz w:val="21"/>
          <w:szCs w:val="21"/>
        </w:rPr>
      </w:pPr>
    </w:p>
    <w:p w14:paraId="515D8A24" w14:textId="114C3C6D" w:rsidR="009A0128" w:rsidRDefault="00000000">
      <w:pPr>
        <w:tabs>
          <w:tab w:val="left" w:pos="8800"/>
        </w:tabs>
        <w:ind w:left="560"/>
        <w:rPr>
          <w:sz w:val="20"/>
          <w:szCs w:val="20"/>
        </w:rPr>
      </w:pPr>
      <w:r>
        <w:rPr>
          <w:rFonts w:eastAsia="Times New Roman"/>
          <w:b/>
          <w:bCs/>
          <w:i/>
          <w:iCs/>
        </w:rPr>
        <w:t>Brown University Student Project Consultant</w:t>
      </w:r>
      <w:r>
        <w:rPr>
          <w:sz w:val="20"/>
          <w:szCs w:val="20"/>
        </w:rPr>
        <w:tab/>
      </w:r>
      <w:r w:rsidR="00184DAA">
        <w:rPr>
          <w:sz w:val="20"/>
          <w:szCs w:val="20"/>
        </w:rPr>
        <w:t xml:space="preserve">  </w:t>
      </w:r>
      <w:r>
        <w:rPr>
          <w:rFonts w:eastAsia="Times New Roman"/>
          <w:sz w:val="21"/>
          <w:szCs w:val="21"/>
        </w:rPr>
        <w:t>January to April 2022</w:t>
      </w:r>
    </w:p>
    <w:p w14:paraId="0C897706" w14:textId="77777777" w:rsidR="009A0128" w:rsidRDefault="009A0128">
      <w:pPr>
        <w:spacing w:line="15" w:lineRule="exact"/>
        <w:rPr>
          <w:rFonts w:eastAsia="Times New Roman"/>
          <w:b/>
          <w:bCs/>
          <w:i/>
          <w:iCs/>
          <w:sz w:val="21"/>
          <w:szCs w:val="21"/>
        </w:rPr>
      </w:pPr>
    </w:p>
    <w:p w14:paraId="10A7E2E5" w14:textId="77777777" w:rsidR="009A0128" w:rsidRDefault="00000000">
      <w:pPr>
        <w:numPr>
          <w:ilvl w:val="0"/>
          <w:numId w:val="1"/>
        </w:numPr>
        <w:tabs>
          <w:tab w:val="left" w:pos="720"/>
        </w:tabs>
        <w:spacing w:line="254" w:lineRule="auto"/>
        <w:ind w:left="720" w:right="40" w:hanging="358"/>
        <w:rPr>
          <w:rFonts w:ascii="Symbol" w:eastAsia="Symbol" w:hAnsi="Symbol" w:cs="Symbol"/>
          <w:sz w:val="20"/>
          <w:szCs w:val="20"/>
        </w:rPr>
      </w:pPr>
      <w:r>
        <w:rPr>
          <w:rFonts w:eastAsia="Times New Roman"/>
          <w:sz w:val="20"/>
          <w:szCs w:val="20"/>
        </w:rPr>
        <w:t>Analyzed nuclear state issued doctrines and official statements relating to attacks in outer space (e.g. satellite incapacitation), to create a visual representation that UNIDIR staff will use for their research on nuclear risk reduction</w:t>
      </w:r>
    </w:p>
    <w:p w14:paraId="13B82A22" w14:textId="77777777" w:rsidR="009A0128" w:rsidRDefault="00000000">
      <w:pPr>
        <w:numPr>
          <w:ilvl w:val="0"/>
          <w:numId w:val="1"/>
        </w:numPr>
        <w:tabs>
          <w:tab w:val="left" w:pos="720"/>
        </w:tabs>
        <w:spacing w:line="254" w:lineRule="auto"/>
        <w:ind w:left="720" w:right="200" w:hanging="358"/>
        <w:rPr>
          <w:rFonts w:ascii="Symbol" w:eastAsia="Symbol" w:hAnsi="Symbol" w:cs="Symbol"/>
          <w:sz w:val="20"/>
          <w:szCs w:val="20"/>
        </w:rPr>
      </w:pPr>
      <w:r>
        <w:rPr>
          <w:rFonts w:eastAsia="Times New Roman"/>
          <w:sz w:val="20"/>
          <w:szCs w:val="20"/>
        </w:rPr>
        <w:t>Researched pathways for which outer space activities potentially increase risk of terrestrial nuclear weapon use, to improve understanding of the gravity and urgency of the state of affairs</w:t>
      </w:r>
    </w:p>
    <w:p w14:paraId="1B352402" w14:textId="77777777" w:rsidR="009A0128" w:rsidRDefault="009A0128">
      <w:pPr>
        <w:spacing w:line="1" w:lineRule="exact"/>
        <w:rPr>
          <w:rFonts w:ascii="Symbol" w:eastAsia="Symbol" w:hAnsi="Symbol" w:cs="Symbol"/>
          <w:sz w:val="20"/>
          <w:szCs w:val="20"/>
        </w:rPr>
      </w:pPr>
    </w:p>
    <w:p w14:paraId="60B32968" w14:textId="77777777" w:rsidR="009A0128" w:rsidRDefault="00000000">
      <w:pPr>
        <w:numPr>
          <w:ilvl w:val="0"/>
          <w:numId w:val="1"/>
        </w:numPr>
        <w:tabs>
          <w:tab w:val="left" w:pos="720"/>
        </w:tabs>
        <w:spacing w:line="275" w:lineRule="auto"/>
        <w:ind w:left="720" w:right="140" w:hanging="358"/>
        <w:rPr>
          <w:rFonts w:ascii="Symbol" w:eastAsia="Symbol" w:hAnsi="Symbol" w:cs="Symbol"/>
          <w:sz w:val="18"/>
          <w:szCs w:val="18"/>
        </w:rPr>
      </w:pPr>
      <w:r>
        <w:rPr>
          <w:rFonts w:eastAsia="Times New Roman"/>
          <w:sz w:val="20"/>
          <w:szCs w:val="20"/>
        </w:rPr>
        <w:t>Recommended policies and tools to propose to member states and international bodies, to reduce the risk of nuclear weapon use as a result of outer space incidents</w:t>
      </w:r>
    </w:p>
    <w:p w14:paraId="54485BF6" w14:textId="77777777" w:rsidR="009A0128" w:rsidRDefault="009A0128">
      <w:pPr>
        <w:spacing w:line="165" w:lineRule="exact"/>
        <w:rPr>
          <w:rFonts w:eastAsia="Times New Roman"/>
          <w:b/>
          <w:bCs/>
          <w:i/>
          <w:iCs/>
          <w:sz w:val="21"/>
          <w:szCs w:val="21"/>
        </w:rPr>
      </w:pPr>
    </w:p>
    <w:p w14:paraId="76FCDCC2" w14:textId="77777777" w:rsidR="009A0128" w:rsidRDefault="00000000">
      <w:pPr>
        <w:ind w:left="9360"/>
        <w:rPr>
          <w:sz w:val="20"/>
          <w:szCs w:val="20"/>
        </w:rPr>
      </w:pPr>
      <w:r>
        <w:rPr>
          <w:rFonts w:eastAsia="Times New Roman"/>
          <w:sz w:val="20"/>
          <w:szCs w:val="20"/>
        </w:rPr>
        <w:t>Philadelphia, PA</w:t>
      </w:r>
    </w:p>
    <w:p w14:paraId="5DADE9FF" w14:textId="77777777" w:rsidR="009A0128" w:rsidRDefault="009A0128">
      <w:pPr>
        <w:spacing w:line="44" w:lineRule="exact"/>
        <w:rPr>
          <w:rFonts w:eastAsia="Times New Roman"/>
          <w:b/>
          <w:bCs/>
          <w:i/>
          <w:iCs/>
          <w:sz w:val="21"/>
          <w:szCs w:val="21"/>
        </w:rPr>
      </w:pPr>
    </w:p>
    <w:p w14:paraId="73F6CEA6" w14:textId="77777777" w:rsidR="009A0128" w:rsidRDefault="00000000">
      <w:pPr>
        <w:ind w:left="8660"/>
        <w:rPr>
          <w:sz w:val="20"/>
          <w:szCs w:val="20"/>
        </w:rPr>
      </w:pPr>
      <w:r>
        <w:rPr>
          <w:rFonts w:eastAsia="Times New Roman"/>
          <w:sz w:val="20"/>
          <w:szCs w:val="20"/>
        </w:rPr>
        <w:t>August 2019 to May 2021</w:t>
      </w:r>
    </w:p>
    <w:p w14:paraId="5E62AF8A" w14:textId="77777777" w:rsidR="009A0128" w:rsidRDefault="009A0128">
      <w:pPr>
        <w:spacing w:line="39" w:lineRule="exact"/>
        <w:rPr>
          <w:rFonts w:eastAsia="Times New Roman"/>
          <w:b/>
          <w:bCs/>
          <w:i/>
          <w:iCs/>
          <w:sz w:val="21"/>
          <w:szCs w:val="21"/>
        </w:rPr>
      </w:pPr>
    </w:p>
    <w:p w14:paraId="0AF51714" w14:textId="77777777" w:rsidR="009A0128" w:rsidRDefault="00000000">
      <w:pPr>
        <w:numPr>
          <w:ilvl w:val="0"/>
          <w:numId w:val="2"/>
        </w:numPr>
        <w:tabs>
          <w:tab w:val="left" w:pos="720"/>
        </w:tabs>
        <w:spacing w:line="251" w:lineRule="auto"/>
        <w:ind w:left="720" w:right="600" w:hanging="358"/>
        <w:rPr>
          <w:rFonts w:ascii="Symbol" w:eastAsia="Symbol" w:hAnsi="Symbol" w:cs="Symbol"/>
          <w:sz w:val="20"/>
          <w:szCs w:val="20"/>
        </w:rPr>
      </w:pPr>
      <w:r>
        <w:rPr>
          <w:rFonts w:eastAsia="Times New Roman"/>
          <w:sz w:val="20"/>
          <w:szCs w:val="20"/>
        </w:rPr>
        <w:t>Analyzed the monthly and quarterly expenses of the Research Services department, to maximize efficient spending on resources that enabled the attorneys to have the most extensive information to best represent their clients</w:t>
      </w:r>
    </w:p>
    <w:p w14:paraId="77831ADA" w14:textId="77777777" w:rsidR="009A0128" w:rsidRDefault="009A0128">
      <w:pPr>
        <w:spacing w:line="1" w:lineRule="exact"/>
        <w:rPr>
          <w:rFonts w:ascii="Symbol" w:eastAsia="Symbol" w:hAnsi="Symbol" w:cs="Symbol"/>
          <w:sz w:val="20"/>
          <w:szCs w:val="20"/>
        </w:rPr>
      </w:pPr>
    </w:p>
    <w:p w14:paraId="7BAA0D0F" w14:textId="77777777" w:rsidR="009A0128" w:rsidRDefault="00000000">
      <w:pPr>
        <w:numPr>
          <w:ilvl w:val="0"/>
          <w:numId w:val="2"/>
        </w:numPr>
        <w:tabs>
          <w:tab w:val="left" w:pos="720"/>
        </w:tabs>
        <w:spacing w:line="237" w:lineRule="auto"/>
        <w:ind w:left="720" w:right="320" w:hanging="358"/>
        <w:rPr>
          <w:rFonts w:ascii="Symbol" w:eastAsia="Symbol" w:hAnsi="Symbol" w:cs="Symbol"/>
          <w:sz w:val="20"/>
          <w:szCs w:val="20"/>
        </w:rPr>
      </w:pPr>
      <w:r>
        <w:rPr>
          <w:rFonts w:eastAsia="Times New Roman"/>
          <w:sz w:val="20"/>
          <w:szCs w:val="20"/>
        </w:rPr>
        <w:t>Reviewed invoices for the Research Services and IT departments in a timely manner, to avoid service interruptions and to facilitate high availability of vital resources and software</w:t>
      </w:r>
    </w:p>
    <w:p w14:paraId="45C3FFFF" w14:textId="77777777" w:rsidR="009A0128" w:rsidRDefault="009A0128">
      <w:pPr>
        <w:spacing w:line="1" w:lineRule="exact"/>
        <w:rPr>
          <w:rFonts w:ascii="Symbol" w:eastAsia="Symbol" w:hAnsi="Symbol" w:cs="Symbol"/>
          <w:sz w:val="20"/>
          <w:szCs w:val="20"/>
        </w:rPr>
      </w:pPr>
    </w:p>
    <w:p w14:paraId="0B40A3BF" w14:textId="77777777" w:rsidR="009A0128" w:rsidRDefault="00000000">
      <w:pPr>
        <w:numPr>
          <w:ilvl w:val="0"/>
          <w:numId w:val="2"/>
        </w:numPr>
        <w:tabs>
          <w:tab w:val="left" w:pos="720"/>
        </w:tabs>
        <w:ind w:left="720" w:hanging="358"/>
        <w:rPr>
          <w:rFonts w:ascii="Symbol" w:eastAsia="Symbol" w:hAnsi="Symbol" w:cs="Symbol"/>
          <w:sz w:val="20"/>
          <w:szCs w:val="20"/>
        </w:rPr>
      </w:pPr>
      <w:r>
        <w:rPr>
          <w:rFonts w:eastAsia="Times New Roman"/>
          <w:sz w:val="20"/>
          <w:szCs w:val="20"/>
        </w:rPr>
        <w:t>Collaborated with the Research Services team and office managers worldwide, to develop the upcoming year’s budget for the Research Services department in a way that guides financial investment based on ROI</w:t>
      </w:r>
    </w:p>
    <w:p w14:paraId="49D67C26" w14:textId="77777777" w:rsidR="009A0128" w:rsidRDefault="009A0128">
      <w:pPr>
        <w:spacing w:line="159" w:lineRule="exact"/>
        <w:rPr>
          <w:rFonts w:eastAsia="Times New Roman"/>
          <w:b/>
          <w:bCs/>
          <w:i/>
          <w:iCs/>
          <w:sz w:val="21"/>
          <w:szCs w:val="21"/>
        </w:rPr>
      </w:pPr>
    </w:p>
    <w:p w14:paraId="4465ACA0" w14:textId="77777777" w:rsidR="009A0128" w:rsidRDefault="00000000">
      <w:pPr>
        <w:tabs>
          <w:tab w:val="left" w:pos="9360"/>
        </w:tabs>
        <w:ind w:left="560"/>
        <w:rPr>
          <w:sz w:val="20"/>
          <w:szCs w:val="20"/>
        </w:rPr>
      </w:pPr>
      <w:r>
        <w:rPr>
          <w:rFonts w:eastAsia="Times New Roman"/>
          <w:b/>
          <w:bCs/>
        </w:rPr>
        <w:t>Kroll / Duff &amp; Phelps</w:t>
      </w:r>
      <w:r>
        <w:rPr>
          <w:sz w:val="20"/>
          <w:szCs w:val="20"/>
        </w:rPr>
        <w:tab/>
      </w:r>
      <w:r>
        <w:rPr>
          <w:rFonts w:eastAsia="Times New Roman"/>
          <w:sz w:val="20"/>
          <w:szCs w:val="20"/>
        </w:rPr>
        <w:t>Philadelphia, PA</w:t>
      </w:r>
    </w:p>
    <w:p w14:paraId="0B9C4268" w14:textId="77777777" w:rsidR="009A0128" w:rsidRDefault="009A0128">
      <w:pPr>
        <w:spacing w:line="52" w:lineRule="exact"/>
        <w:rPr>
          <w:rFonts w:eastAsia="Times New Roman"/>
          <w:b/>
          <w:bCs/>
          <w:i/>
          <w:iCs/>
          <w:sz w:val="21"/>
          <w:szCs w:val="21"/>
        </w:rPr>
      </w:pPr>
    </w:p>
    <w:p w14:paraId="04AC3FD0" w14:textId="77777777" w:rsidR="009A0128" w:rsidRDefault="00000000">
      <w:pPr>
        <w:tabs>
          <w:tab w:val="left" w:pos="8740"/>
        </w:tabs>
        <w:ind w:left="560"/>
        <w:rPr>
          <w:sz w:val="20"/>
          <w:szCs w:val="20"/>
        </w:rPr>
      </w:pPr>
      <w:r>
        <w:rPr>
          <w:rFonts w:eastAsia="Times New Roman"/>
          <w:b/>
          <w:bCs/>
          <w:i/>
          <w:iCs/>
        </w:rPr>
        <w:t>Financial Investigations Co-op</w:t>
      </w:r>
      <w:r>
        <w:rPr>
          <w:sz w:val="20"/>
          <w:szCs w:val="20"/>
        </w:rPr>
        <w:tab/>
      </w:r>
      <w:r>
        <w:rPr>
          <w:rFonts w:eastAsia="Times New Roman"/>
          <w:sz w:val="19"/>
          <w:szCs w:val="19"/>
        </w:rPr>
        <w:t>April to September 2018</w:t>
      </w:r>
    </w:p>
    <w:p w14:paraId="5F18D299" w14:textId="77777777" w:rsidR="009A0128" w:rsidRDefault="009A0128">
      <w:pPr>
        <w:spacing w:line="15" w:lineRule="exact"/>
        <w:rPr>
          <w:rFonts w:eastAsia="Times New Roman"/>
          <w:b/>
          <w:bCs/>
          <w:i/>
          <w:iCs/>
          <w:sz w:val="21"/>
          <w:szCs w:val="21"/>
        </w:rPr>
      </w:pPr>
    </w:p>
    <w:p w14:paraId="56540EB9" w14:textId="32F8F4E8" w:rsidR="009A0128" w:rsidRDefault="00000000">
      <w:pPr>
        <w:numPr>
          <w:ilvl w:val="0"/>
          <w:numId w:val="3"/>
        </w:numPr>
        <w:tabs>
          <w:tab w:val="left" w:pos="720"/>
        </w:tabs>
        <w:spacing w:line="256" w:lineRule="auto"/>
        <w:ind w:left="720" w:right="360" w:hanging="358"/>
        <w:rPr>
          <w:rFonts w:ascii="Symbol" w:eastAsia="Symbol" w:hAnsi="Symbol" w:cs="Symbol"/>
          <w:sz w:val="20"/>
          <w:szCs w:val="20"/>
        </w:rPr>
      </w:pPr>
      <w:r>
        <w:rPr>
          <w:rFonts w:eastAsia="Times New Roman"/>
          <w:sz w:val="20"/>
          <w:szCs w:val="20"/>
        </w:rPr>
        <w:t xml:space="preserve">Managed the intake, inventory, and initial review of over 13,000 documents from three separate law firms in support of a </w:t>
      </w:r>
      <w:r w:rsidR="00184DAA">
        <w:rPr>
          <w:rFonts w:eastAsia="Times New Roman"/>
          <w:sz w:val="20"/>
          <w:szCs w:val="20"/>
        </w:rPr>
        <w:t>court-ordered</w:t>
      </w:r>
      <w:r>
        <w:rPr>
          <w:rFonts w:eastAsia="Times New Roman"/>
          <w:sz w:val="20"/>
          <w:szCs w:val="20"/>
        </w:rPr>
        <w:t xml:space="preserve"> forensic review of fraud allegations in a Southern District of New York suit</w:t>
      </w:r>
    </w:p>
    <w:p w14:paraId="71C5B28F" w14:textId="65D3E32B" w:rsidR="009A0128" w:rsidRDefault="00000000">
      <w:pPr>
        <w:numPr>
          <w:ilvl w:val="0"/>
          <w:numId w:val="3"/>
        </w:numPr>
        <w:tabs>
          <w:tab w:val="left" w:pos="720"/>
        </w:tabs>
        <w:spacing w:line="259" w:lineRule="auto"/>
        <w:ind w:left="720" w:right="760" w:hanging="358"/>
        <w:rPr>
          <w:rFonts w:ascii="Symbol" w:eastAsia="Symbol" w:hAnsi="Symbol" w:cs="Symbol"/>
          <w:sz w:val="20"/>
          <w:szCs w:val="20"/>
        </w:rPr>
      </w:pPr>
      <w:r>
        <w:rPr>
          <w:rFonts w:eastAsia="Times New Roman"/>
          <w:sz w:val="20"/>
          <w:szCs w:val="20"/>
        </w:rPr>
        <w:t xml:space="preserve">Developed </w:t>
      </w:r>
      <w:r w:rsidR="00184DAA">
        <w:rPr>
          <w:rFonts w:eastAsia="Times New Roman"/>
          <w:sz w:val="20"/>
          <w:szCs w:val="20"/>
        </w:rPr>
        <w:t xml:space="preserve">a </w:t>
      </w:r>
      <w:r>
        <w:rPr>
          <w:rFonts w:eastAsia="Times New Roman"/>
          <w:sz w:val="20"/>
          <w:szCs w:val="20"/>
        </w:rPr>
        <w:t>multi-year bank activity master list that enabled the identification of the source, destination, and ultimate purpose of specific transactions</w:t>
      </w:r>
    </w:p>
    <w:p w14:paraId="4860129B" w14:textId="77777777" w:rsidR="009A0128" w:rsidRDefault="00000000">
      <w:pPr>
        <w:numPr>
          <w:ilvl w:val="0"/>
          <w:numId w:val="3"/>
        </w:numPr>
        <w:tabs>
          <w:tab w:val="left" w:pos="720"/>
        </w:tabs>
        <w:ind w:left="720" w:hanging="358"/>
        <w:rPr>
          <w:rFonts w:ascii="Symbol" w:eastAsia="Symbol" w:hAnsi="Symbol" w:cs="Symbol"/>
          <w:sz w:val="20"/>
          <w:szCs w:val="20"/>
        </w:rPr>
      </w:pPr>
      <w:r>
        <w:rPr>
          <w:rFonts w:eastAsia="Times New Roman"/>
          <w:sz w:val="20"/>
          <w:szCs w:val="20"/>
        </w:rPr>
        <w:t>Assessed vendor invoice payment process onsite for a client to investigate potential fraud within the organization</w:t>
      </w:r>
    </w:p>
    <w:p w14:paraId="28B6AB7D" w14:textId="77777777" w:rsidR="009A0128" w:rsidRDefault="009A0128">
      <w:pPr>
        <w:spacing w:line="14" w:lineRule="exact"/>
        <w:rPr>
          <w:rFonts w:ascii="Symbol" w:eastAsia="Symbol" w:hAnsi="Symbol" w:cs="Symbol"/>
          <w:sz w:val="20"/>
          <w:szCs w:val="20"/>
        </w:rPr>
      </w:pPr>
    </w:p>
    <w:p w14:paraId="02DD9276" w14:textId="77777777" w:rsidR="009A0128" w:rsidRDefault="00000000">
      <w:pPr>
        <w:numPr>
          <w:ilvl w:val="0"/>
          <w:numId w:val="3"/>
        </w:numPr>
        <w:tabs>
          <w:tab w:val="left" w:pos="720"/>
        </w:tabs>
        <w:ind w:left="720" w:hanging="358"/>
        <w:rPr>
          <w:rFonts w:ascii="Symbol" w:eastAsia="Symbol" w:hAnsi="Symbol" w:cs="Symbol"/>
          <w:sz w:val="20"/>
          <w:szCs w:val="20"/>
        </w:rPr>
      </w:pPr>
      <w:r>
        <w:rPr>
          <w:rFonts w:eastAsia="Times New Roman"/>
          <w:sz w:val="20"/>
          <w:szCs w:val="20"/>
        </w:rPr>
        <w:t>Analyzed all paper &amp; digital police department dat</w:t>
      </w:r>
      <w:r>
        <w:rPr>
          <w:rFonts w:eastAsia="Times New Roman"/>
          <w:color w:val="2E74B5"/>
          <w:sz w:val="20"/>
          <w:szCs w:val="20"/>
        </w:rPr>
        <w:t>a</w:t>
      </w:r>
      <w:r>
        <w:rPr>
          <w:rFonts w:eastAsia="Times New Roman"/>
          <w:sz w:val="20"/>
          <w:szCs w:val="20"/>
        </w:rPr>
        <w:t xml:space="preserve"> to identify inappropriate “double dipping” payments to officers</w:t>
      </w:r>
    </w:p>
    <w:p w14:paraId="09486740" w14:textId="77777777" w:rsidR="009A0128" w:rsidRDefault="009A0128">
      <w:pPr>
        <w:spacing w:line="177" w:lineRule="exact"/>
        <w:rPr>
          <w:rFonts w:eastAsia="Times New Roman"/>
          <w:b/>
          <w:bCs/>
          <w:i/>
          <w:iCs/>
          <w:sz w:val="21"/>
          <w:szCs w:val="21"/>
        </w:rPr>
      </w:pPr>
    </w:p>
    <w:p w14:paraId="39ADC670" w14:textId="77777777" w:rsidR="009A0128" w:rsidRDefault="00000000">
      <w:pPr>
        <w:tabs>
          <w:tab w:val="left" w:pos="8620"/>
        </w:tabs>
        <w:ind w:left="560"/>
        <w:rPr>
          <w:sz w:val="20"/>
          <w:szCs w:val="20"/>
        </w:rPr>
      </w:pPr>
      <w:r>
        <w:rPr>
          <w:rFonts w:eastAsia="Times New Roman"/>
          <w:b/>
          <w:bCs/>
        </w:rPr>
        <w:t>gold Youth Development Agency</w:t>
      </w:r>
      <w:r>
        <w:rPr>
          <w:sz w:val="20"/>
          <w:szCs w:val="20"/>
        </w:rPr>
        <w:tab/>
      </w:r>
      <w:r>
        <w:rPr>
          <w:rFonts w:eastAsia="Times New Roman"/>
          <w:sz w:val="20"/>
          <w:szCs w:val="20"/>
        </w:rPr>
        <w:t>Cape Town, South Africa</w:t>
      </w:r>
    </w:p>
    <w:p w14:paraId="5AA28C65" w14:textId="77777777" w:rsidR="009A0128" w:rsidRDefault="009A0128">
      <w:pPr>
        <w:spacing w:line="23" w:lineRule="exact"/>
        <w:rPr>
          <w:rFonts w:eastAsia="Times New Roman"/>
          <w:b/>
          <w:bCs/>
          <w:i/>
          <w:iCs/>
          <w:sz w:val="21"/>
          <w:szCs w:val="21"/>
        </w:rPr>
      </w:pPr>
    </w:p>
    <w:p w14:paraId="28F0E7D1" w14:textId="77777777" w:rsidR="009A0128" w:rsidRDefault="00000000">
      <w:pPr>
        <w:tabs>
          <w:tab w:val="left" w:pos="8740"/>
        </w:tabs>
        <w:ind w:left="580"/>
        <w:rPr>
          <w:sz w:val="20"/>
          <w:szCs w:val="20"/>
        </w:rPr>
      </w:pPr>
      <w:r>
        <w:rPr>
          <w:rFonts w:eastAsia="Times New Roman"/>
          <w:b/>
          <w:bCs/>
          <w:i/>
          <w:iCs/>
        </w:rPr>
        <w:t>Human Resource Co-op</w:t>
      </w:r>
      <w:r>
        <w:rPr>
          <w:sz w:val="20"/>
          <w:szCs w:val="20"/>
        </w:rPr>
        <w:tab/>
      </w:r>
      <w:r>
        <w:rPr>
          <w:rFonts w:eastAsia="Times New Roman"/>
          <w:sz w:val="20"/>
          <w:szCs w:val="20"/>
        </w:rPr>
        <w:t>July to September 2017</w:t>
      </w:r>
    </w:p>
    <w:p w14:paraId="3CFA10B2" w14:textId="77777777" w:rsidR="009A0128" w:rsidRDefault="00000000">
      <w:pPr>
        <w:numPr>
          <w:ilvl w:val="0"/>
          <w:numId w:val="4"/>
        </w:numPr>
        <w:tabs>
          <w:tab w:val="left" w:pos="740"/>
        </w:tabs>
        <w:ind w:left="740" w:hanging="368"/>
        <w:rPr>
          <w:rFonts w:ascii="Symbol" w:eastAsia="Symbol" w:hAnsi="Symbol" w:cs="Symbol"/>
          <w:sz w:val="20"/>
          <w:szCs w:val="20"/>
        </w:rPr>
      </w:pPr>
      <w:r>
        <w:rPr>
          <w:rFonts w:eastAsia="Times New Roman"/>
          <w:sz w:val="20"/>
          <w:szCs w:val="20"/>
        </w:rPr>
        <w:t>Participated in and documented mock interviews for 7 program graduates applying for jobs – all were offered jobs</w:t>
      </w:r>
    </w:p>
    <w:p w14:paraId="605F5959" w14:textId="77777777" w:rsidR="009A0128" w:rsidRDefault="009A0128">
      <w:pPr>
        <w:spacing w:line="17" w:lineRule="exact"/>
        <w:rPr>
          <w:rFonts w:ascii="Symbol" w:eastAsia="Symbol" w:hAnsi="Symbol" w:cs="Symbol"/>
          <w:sz w:val="20"/>
          <w:szCs w:val="20"/>
        </w:rPr>
      </w:pPr>
    </w:p>
    <w:p w14:paraId="44F39F9F" w14:textId="77777777" w:rsidR="009A0128" w:rsidRDefault="00000000">
      <w:pPr>
        <w:numPr>
          <w:ilvl w:val="0"/>
          <w:numId w:val="4"/>
        </w:numPr>
        <w:tabs>
          <w:tab w:val="left" w:pos="740"/>
        </w:tabs>
        <w:ind w:left="740" w:hanging="368"/>
        <w:rPr>
          <w:rFonts w:ascii="Symbol" w:eastAsia="Symbol" w:hAnsi="Symbol" w:cs="Symbol"/>
          <w:sz w:val="20"/>
          <w:szCs w:val="20"/>
        </w:rPr>
      </w:pPr>
      <w:r>
        <w:rPr>
          <w:rFonts w:eastAsia="Times New Roman"/>
          <w:sz w:val="20"/>
          <w:szCs w:val="20"/>
        </w:rPr>
        <w:t>Developed ideas for promoting wellness and culture, including working on a template for an internal blog</w:t>
      </w:r>
    </w:p>
    <w:p w14:paraId="513F6D01" w14:textId="77777777" w:rsidR="009A0128" w:rsidRDefault="00000000">
      <w:pPr>
        <w:numPr>
          <w:ilvl w:val="0"/>
          <w:numId w:val="4"/>
        </w:numPr>
        <w:tabs>
          <w:tab w:val="left" w:pos="740"/>
        </w:tabs>
        <w:ind w:left="740" w:hanging="368"/>
        <w:rPr>
          <w:rFonts w:ascii="Symbol" w:eastAsia="Symbol" w:hAnsi="Symbol" w:cs="Symbol"/>
          <w:sz w:val="20"/>
          <w:szCs w:val="20"/>
        </w:rPr>
      </w:pPr>
      <w:r>
        <w:rPr>
          <w:rFonts w:eastAsia="Times New Roman"/>
          <w:sz w:val="20"/>
          <w:szCs w:val="20"/>
        </w:rPr>
        <w:t xml:space="preserve">Researched labor laws or employment acts for countries where </w:t>
      </w:r>
      <w:r>
        <w:rPr>
          <w:rFonts w:eastAsia="Times New Roman"/>
          <w:b/>
          <w:bCs/>
          <w:sz w:val="20"/>
          <w:szCs w:val="20"/>
        </w:rPr>
        <w:t>gold</w:t>
      </w:r>
      <w:r>
        <w:rPr>
          <w:rFonts w:eastAsia="Times New Roman"/>
          <w:sz w:val="20"/>
          <w:szCs w:val="20"/>
        </w:rPr>
        <w:t xml:space="preserve"> is implementing its program</w:t>
      </w:r>
    </w:p>
    <w:p w14:paraId="09459BD4" w14:textId="77777777" w:rsidR="009A0128" w:rsidRDefault="009A0128">
      <w:pPr>
        <w:sectPr w:rsidR="009A0128">
          <w:pgSz w:w="12240" w:h="15840"/>
          <w:pgMar w:top="487" w:right="740" w:bottom="0" w:left="720" w:header="0" w:footer="0" w:gutter="0"/>
          <w:cols w:space="720" w:equalWidth="0">
            <w:col w:w="10780"/>
          </w:cols>
        </w:sectPr>
      </w:pPr>
    </w:p>
    <w:p w14:paraId="4E77CD09" w14:textId="77777777" w:rsidR="009A0128" w:rsidRDefault="009A0128">
      <w:pPr>
        <w:spacing w:line="139" w:lineRule="exact"/>
        <w:rPr>
          <w:rFonts w:eastAsia="Times New Roman"/>
          <w:b/>
          <w:bCs/>
          <w:i/>
          <w:iCs/>
          <w:sz w:val="21"/>
          <w:szCs w:val="21"/>
        </w:rPr>
      </w:pPr>
    </w:p>
    <w:p w14:paraId="6501B4E0" w14:textId="77777777" w:rsidR="009A0128" w:rsidRDefault="00000000">
      <w:pPr>
        <w:ind w:left="580"/>
        <w:rPr>
          <w:sz w:val="20"/>
          <w:szCs w:val="20"/>
        </w:rPr>
      </w:pPr>
      <w:r>
        <w:rPr>
          <w:rFonts w:eastAsia="Times New Roman"/>
          <w:b/>
          <w:bCs/>
          <w:sz w:val="21"/>
          <w:szCs w:val="21"/>
        </w:rPr>
        <w:t>Europeum Institute for European Policy</w:t>
      </w:r>
    </w:p>
    <w:p w14:paraId="0D84D0B7" w14:textId="77777777" w:rsidR="009A0128" w:rsidRDefault="009A0128">
      <w:pPr>
        <w:spacing w:line="40" w:lineRule="exact"/>
        <w:rPr>
          <w:rFonts w:eastAsia="Times New Roman"/>
          <w:b/>
          <w:bCs/>
          <w:i/>
          <w:iCs/>
          <w:sz w:val="21"/>
          <w:szCs w:val="21"/>
        </w:rPr>
      </w:pPr>
    </w:p>
    <w:p w14:paraId="3B47C011" w14:textId="77777777" w:rsidR="009A0128" w:rsidRDefault="00000000">
      <w:pPr>
        <w:ind w:left="560"/>
        <w:rPr>
          <w:sz w:val="20"/>
          <w:szCs w:val="20"/>
        </w:rPr>
      </w:pPr>
      <w:r>
        <w:rPr>
          <w:rFonts w:eastAsia="Times New Roman"/>
          <w:b/>
          <w:bCs/>
          <w:i/>
          <w:iCs/>
        </w:rPr>
        <w:t>Project Assistant Co-op</w:t>
      </w:r>
    </w:p>
    <w:p w14:paraId="4AA01FDF" w14:textId="77777777" w:rsidR="009A0128" w:rsidRDefault="00000000">
      <w:pPr>
        <w:spacing w:line="20" w:lineRule="exact"/>
        <w:rPr>
          <w:rFonts w:eastAsia="Times New Roman"/>
          <w:b/>
          <w:bCs/>
          <w:i/>
          <w:iCs/>
          <w:sz w:val="21"/>
          <w:szCs w:val="21"/>
        </w:rPr>
      </w:pPr>
      <w:r>
        <w:rPr>
          <w:rFonts w:eastAsia="Times New Roman"/>
          <w:b/>
          <w:bCs/>
          <w:i/>
          <w:iCs/>
          <w:sz w:val="21"/>
          <w:szCs w:val="21"/>
        </w:rPr>
        <w:br w:type="column"/>
      </w:r>
    </w:p>
    <w:p w14:paraId="7BF383BA" w14:textId="77777777" w:rsidR="009A0128" w:rsidRDefault="009A0128">
      <w:pPr>
        <w:spacing w:line="144" w:lineRule="exact"/>
        <w:rPr>
          <w:rFonts w:eastAsia="Times New Roman"/>
          <w:b/>
          <w:bCs/>
          <w:i/>
          <w:iCs/>
          <w:sz w:val="21"/>
          <w:szCs w:val="21"/>
        </w:rPr>
      </w:pPr>
    </w:p>
    <w:p w14:paraId="48116EFB" w14:textId="77777777" w:rsidR="009A0128" w:rsidRDefault="00000000">
      <w:pPr>
        <w:ind w:right="100"/>
        <w:jc w:val="right"/>
        <w:rPr>
          <w:sz w:val="20"/>
          <w:szCs w:val="20"/>
        </w:rPr>
      </w:pPr>
      <w:r>
        <w:rPr>
          <w:rFonts w:eastAsia="Times New Roman"/>
          <w:sz w:val="19"/>
          <w:szCs w:val="19"/>
        </w:rPr>
        <w:t>Prague, Czech Republic</w:t>
      </w:r>
    </w:p>
    <w:p w14:paraId="5FDB6920" w14:textId="77777777" w:rsidR="009A0128" w:rsidRDefault="009A0128">
      <w:pPr>
        <w:spacing w:line="49" w:lineRule="exact"/>
        <w:rPr>
          <w:rFonts w:eastAsia="Times New Roman"/>
          <w:b/>
          <w:bCs/>
          <w:i/>
          <w:iCs/>
          <w:sz w:val="21"/>
          <w:szCs w:val="21"/>
        </w:rPr>
      </w:pPr>
    </w:p>
    <w:p w14:paraId="7F5CD793" w14:textId="77777777" w:rsidR="009A0128" w:rsidRDefault="00000000">
      <w:pPr>
        <w:ind w:right="140"/>
        <w:jc w:val="right"/>
        <w:rPr>
          <w:sz w:val="20"/>
          <w:szCs w:val="20"/>
        </w:rPr>
      </w:pPr>
      <w:r>
        <w:rPr>
          <w:rFonts w:eastAsia="Times New Roman"/>
          <w:sz w:val="20"/>
          <w:szCs w:val="20"/>
        </w:rPr>
        <w:t>April to June 2017</w:t>
      </w:r>
    </w:p>
    <w:p w14:paraId="27C71246" w14:textId="77777777" w:rsidR="009A0128" w:rsidRDefault="009A0128">
      <w:pPr>
        <w:spacing w:line="12" w:lineRule="exact"/>
        <w:rPr>
          <w:rFonts w:eastAsia="Times New Roman"/>
          <w:b/>
          <w:bCs/>
          <w:i/>
          <w:iCs/>
          <w:sz w:val="21"/>
          <w:szCs w:val="21"/>
        </w:rPr>
      </w:pPr>
    </w:p>
    <w:p w14:paraId="1B14C240" w14:textId="77777777" w:rsidR="009A0128" w:rsidRDefault="009A0128">
      <w:pPr>
        <w:sectPr w:rsidR="009A0128">
          <w:type w:val="continuous"/>
          <w:pgSz w:w="12240" w:h="15840"/>
          <w:pgMar w:top="487" w:right="740" w:bottom="0" w:left="720" w:header="0" w:footer="0" w:gutter="0"/>
          <w:cols w:num="2" w:space="720" w:equalWidth="0">
            <w:col w:w="8040" w:space="720"/>
            <w:col w:w="2020"/>
          </w:cols>
        </w:sectPr>
      </w:pPr>
    </w:p>
    <w:p w14:paraId="066CDB48" w14:textId="77777777" w:rsidR="009A0128" w:rsidRDefault="00000000">
      <w:pPr>
        <w:numPr>
          <w:ilvl w:val="0"/>
          <w:numId w:val="5"/>
        </w:numPr>
        <w:tabs>
          <w:tab w:val="left" w:pos="740"/>
        </w:tabs>
        <w:spacing w:line="249" w:lineRule="auto"/>
        <w:ind w:left="740" w:right="120" w:hanging="368"/>
        <w:rPr>
          <w:rFonts w:ascii="Symbol" w:eastAsia="Symbol" w:hAnsi="Symbol" w:cs="Symbol"/>
          <w:sz w:val="20"/>
          <w:szCs w:val="20"/>
        </w:rPr>
      </w:pPr>
      <w:r>
        <w:rPr>
          <w:rFonts w:eastAsia="Times New Roman"/>
          <w:sz w:val="20"/>
          <w:szCs w:val="20"/>
        </w:rPr>
        <w:t>Methodically uncovered 600+ contacts to reach international students as prospective attendees in the academic program and created individually targeted personalized emails – including some in Arabic – for each contact</w:t>
      </w:r>
    </w:p>
    <w:p w14:paraId="19251E51" w14:textId="77777777" w:rsidR="009A0128" w:rsidRDefault="00000000">
      <w:pPr>
        <w:numPr>
          <w:ilvl w:val="0"/>
          <w:numId w:val="5"/>
        </w:numPr>
        <w:tabs>
          <w:tab w:val="left" w:pos="740"/>
        </w:tabs>
        <w:ind w:left="740" w:hanging="368"/>
        <w:rPr>
          <w:rFonts w:ascii="Symbol" w:eastAsia="Symbol" w:hAnsi="Symbol" w:cs="Symbol"/>
          <w:sz w:val="20"/>
          <w:szCs w:val="20"/>
        </w:rPr>
      </w:pPr>
      <w:r>
        <w:rPr>
          <w:rFonts w:eastAsia="Times New Roman"/>
          <w:sz w:val="20"/>
          <w:szCs w:val="20"/>
        </w:rPr>
        <w:t>Transcribed interviews between EU delegates and a researcher at Europeum who analyzed EU communication channels</w:t>
      </w:r>
    </w:p>
    <w:p w14:paraId="4008D601" w14:textId="77777777" w:rsidR="009A0128" w:rsidRDefault="00000000">
      <w:pPr>
        <w:numPr>
          <w:ilvl w:val="0"/>
          <w:numId w:val="5"/>
        </w:numPr>
        <w:tabs>
          <w:tab w:val="left" w:pos="740"/>
        </w:tabs>
        <w:ind w:left="740" w:hanging="368"/>
        <w:rPr>
          <w:rFonts w:ascii="Symbol" w:eastAsia="Symbol" w:hAnsi="Symbol" w:cs="Symbol"/>
          <w:sz w:val="20"/>
          <w:szCs w:val="20"/>
        </w:rPr>
      </w:pPr>
      <w:r>
        <w:rPr>
          <w:rFonts w:eastAsia="Times New Roman"/>
          <w:sz w:val="20"/>
          <w:szCs w:val="20"/>
        </w:rPr>
        <w:t>Volunteered to help the understaffed reporting team at the Prague European Summit by taking notes at the discussion panels</w:t>
      </w:r>
    </w:p>
    <w:p w14:paraId="2E06B044" w14:textId="77777777" w:rsidR="009A0128" w:rsidRDefault="009A0128">
      <w:pPr>
        <w:spacing w:line="139" w:lineRule="exact"/>
        <w:rPr>
          <w:rFonts w:eastAsia="Times New Roman"/>
          <w:b/>
          <w:bCs/>
          <w:i/>
          <w:iCs/>
          <w:sz w:val="21"/>
          <w:szCs w:val="21"/>
        </w:rPr>
      </w:pPr>
    </w:p>
    <w:p w14:paraId="51A4FA9E" w14:textId="77777777" w:rsidR="009A0128" w:rsidRDefault="00000000">
      <w:pPr>
        <w:tabs>
          <w:tab w:val="left" w:pos="9360"/>
        </w:tabs>
        <w:ind w:left="560"/>
        <w:rPr>
          <w:sz w:val="20"/>
          <w:szCs w:val="20"/>
        </w:rPr>
      </w:pPr>
      <w:r>
        <w:rPr>
          <w:rFonts w:eastAsia="Times New Roman"/>
          <w:b/>
          <w:bCs/>
        </w:rPr>
        <w:t>Chubb Limited</w:t>
      </w:r>
      <w:r>
        <w:rPr>
          <w:sz w:val="20"/>
          <w:szCs w:val="20"/>
        </w:rPr>
        <w:tab/>
      </w:r>
      <w:r>
        <w:rPr>
          <w:rFonts w:eastAsia="Times New Roman"/>
          <w:sz w:val="19"/>
          <w:szCs w:val="19"/>
        </w:rPr>
        <w:t>Philadelphia, PA</w:t>
      </w:r>
    </w:p>
    <w:p w14:paraId="412F580A" w14:textId="77777777" w:rsidR="009A0128" w:rsidRDefault="009A0128">
      <w:pPr>
        <w:spacing w:line="23" w:lineRule="exact"/>
        <w:rPr>
          <w:rFonts w:eastAsia="Times New Roman"/>
          <w:b/>
          <w:bCs/>
          <w:i/>
          <w:iCs/>
          <w:sz w:val="21"/>
          <w:szCs w:val="21"/>
        </w:rPr>
      </w:pPr>
    </w:p>
    <w:p w14:paraId="50514CE7" w14:textId="77777777" w:rsidR="009A0128" w:rsidRDefault="00000000">
      <w:pPr>
        <w:tabs>
          <w:tab w:val="left" w:pos="8640"/>
        </w:tabs>
        <w:ind w:left="580"/>
        <w:rPr>
          <w:sz w:val="20"/>
          <w:szCs w:val="20"/>
        </w:rPr>
      </w:pPr>
      <w:r>
        <w:rPr>
          <w:rFonts w:eastAsia="Times New Roman"/>
          <w:b/>
          <w:bCs/>
          <w:i/>
          <w:iCs/>
        </w:rPr>
        <w:t>Data Management Co-op</w:t>
      </w:r>
      <w:r>
        <w:rPr>
          <w:sz w:val="20"/>
          <w:szCs w:val="20"/>
        </w:rPr>
        <w:tab/>
      </w:r>
      <w:r>
        <w:rPr>
          <w:rFonts w:eastAsia="Times New Roman"/>
          <w:sz w:val="19"/>
          <w:szCs w:val="19"/>
        </w:rPr>
        <w:t>March to September 2016</w:t>
      </w:r>
    </w:p>
    <w:p w14:paraId="5A000884" w14:textId="77777777" w:rsidR="009A0128" w:rsidRDefault="00000000">
      <w:pPr>
        <w:numPr>
          <w:ilvl w:val="0"/>
          <w:numId w:val="6"/>
        </w:numPr>
        <w:tabs>
          <w:tab w:val="left" w:pos="740"/>
        </w:tabs>
        <w:spacing w:line="249" w:lineRule="auto"/>
        <w:ind w:left="740" w:right="340" w:hanging="368"/>
        <w:rPr>
          <w:rFonts w:ascii="Symbol" w:eastAsia="Symbol" w:hAnsi="Symbol" w:cs="Symbol"/>
          <w:sz w:val="20"/>
          <w:szCs w:val="20"/>
        </w:rPr>
      </w:pPr>
      <w:r>
        <w:rPr>
          <w:rFonts w:eastAsia="Times New Roman"/>
          <w:sz w:val="20"/>
          <w:szCs w:val="20"/>
        </w:rPr>
        <w:t>Analyzed reports looking for discrepancies and unusual patterns to ensure that background queries and data sources were correct and then conveyed the findings to the management</w:t>
      </w:r>
    </w:p>
    <w:p w14:paraId="4E539E8C" w14:textId="77777777" w:rsidR="009A0128" w:rsidRDefault="00000000">
      <w:pPr>
        <w:numPr>
          <w:ilvl w:val="0"/>
          <w:numId w:val="6"/>
        </w:numPr>
        <w:tabs>
          <w:tab w:val="left" w:pos="740"/>
        </w:tabs>
        <w:ind w:left="740" w:hanging="368"/>
        <w:rPr>
          <w:rFonts w:ascii="Symbol" w:eastAsia="Symbol" w:hAnsi="Symbol" w:cs="Symbol"/>
          <w:sz w:val="20"/>
          <w:szCs w:val="20"/>
        </w:rPr>
      </w:pPr>
      <w:r>
        <w:rPr>
          <w:rFonts w:eastAsia="Times New Roman"/>
          <w:sz w:val="20"/>
          <w:szCs w:val="20"/>
        </w:rPr>
        <w:t>Created Excel macros to produce standardized reports in a more efficient way</w:t>
      </w:r>
    </w:p>
    <w:p w14:paraId="78F63E97" w14:textId="77777777" w:rsidR="009A0128" w:rsidRDefault="00000000">
      <w:pPr>
        <w:numPr>
          <w:ilvl w:val="0"/>
          <w:numId w:val="6"/>
        </w:numPr>
        <w:tabs>
          <w:tab w:val="left" w:pos="740"/>
        </w:tabs>
        <w:ind w:left="740" w:hanging="368"/>
        <w:rPr>
          <w:rFonts w:ascii="Symbol" w:eastAsia="Symbol" w:hAnsi="Symbol" w:cs="Symbol"/>
          <w:sz w:val="20"/>
          <w:szCs w:val="20"/>
        </w:rPr>
      </w:pPr>
      <w:r>
        <w:rPr>
          <w:rFonts w:eastAsia="Times New Roman"/>
          <w:sz w:val="20"/>
          <w:szCs w:val="20"/>
        </w:rPr>
        <w:t>Helped in the recruitment process by looking at resumes and participating in interviews to hire another co-op student</w:t>
      </w:r>
    </w:p>
    <w:p w14:paraId="19CC2FFA" w14:textId="77777777" w:rsidR="009A0128" w:rsidRDefault="009A0128">
      <w:pPr>
        <w:spacing w:line="178" w:lineRule="exact"/>
        <w:rPr>
          <w:rFonts w:eastAsia="Times New Roman"/>
          <w:b/>
          <w:bCs/>
          <w:i/>
          <w:iCs/>
          <w:sz w:val="21"/>
          <w:szCs w:val="21"/>
        </w:rPr>
      </w:pPr>
    </w:p>
    <w:p w14:paraId="49594CE2" w14:textId="77777777" w:rsidR="009A0128" w:rsidRDefault="00000000">
      <w:pPr>
        <w:ind w:right="-59"/>
        <w:jc w:val="center"/>
        <w:rPr>
          <w:sz w:val="20"/>
          <w:szCs w:val="20"/>
        </w:rPr>
      </w:pPr>
      <w:r>
        <w:rPr>
          <w:rFonts w:eastAsia="Times New Roman"/>
          <w:b/>
          <w:bCs/>
          <w:sz w:val="21"/>
          <w:szCs w:val="21"/>
        </w:rPr>
        <w:t>Education</w:t>
      </w:r>
    </w:p>
    <w:p w14:paraId="01E74363" w14:textId="77777777" w:rsidR="009A0128" w:rsidRDefault="00000000">
      <w:pPr>
        <w:spacing w:line="20" w:lineRule="exact"/>
        <w:rPr>
          <w:rFonts w:eastAsia="Times New Roman"/>
          <w:b/>
          <w:bCs/>
          <w:i/>
          <w:iCs/>
          <w:sz w:val="21"/>
          <w:szCs w:val="21"/>
        </w:rPr>
      </w:pPr>
      <w:r>
        <w:rPr>
          <w:rFonts w:eastAsia="Times New Roman"/>
          <w:b/>
          <w:bCs/>
          <w:i/>
          <w:iCs/>
          <w:noProof/>
          <w:sz w:val="21"/>
          <w:szCs w:val="21"/>
        </w:rPr>
        <w:drawing>
          <wp:anchor distT="0" distB="0" distL="114300" distR="114300" simplePos="0" relativeHeight="251658240" behindDoc="1" locked="0" layoutInCell="0" allowOverlap="1" wp14:anchorId="6B6A5A76" wp14:editId="6A1D57C7">
            <wp:simplePos x="0" y="0"/>
            <wp:positionH relativeFrom="column">
              <wp:posOffset>-10160</wp:posOffset>
            </wp:positionH>
            <wp:positionV relativeFrom="paragraph">
              <wp:posOffset>-148590</wp:posOffset>
            </wp:positionV>
            <wp:extent cx="689483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94830" cy="8890"/>
                    </a:xfrm>
                    <a:prstGeom prst="rect">
                      <a:avLst/>
                    </a:prstGeom>
                    <a:noFill/>
                  </pic:spPr>
                </pic:pic>
              </a:graphicData>
            </a:graphic>
          </wp:anchor>
        </w:drawing>
      </w:r>
    </w:p>
    <w:p w14:paraId="2010D2CE" w14:textId="77777777" w:rsidR="009A0128" w:rsidRDefault="009A0128">
      <w:pPr>
        <w:spacing w:line="80" w:lineRule="exact"/>
        <w:rPr>
          <w:rFonts w:eastAsia="Times New Roman"/>
          <w:b/>
          <w:bCs/>
          <w:i/>
          <w:iCs/>
          <w:sz w:val="21"/>
          <w:szCs w:val="21"/>
        </w:rPr>
      </w:pPr>
    </w:p>
    <w:p w14:paraId="4073F843" w14:textId="77777777" w:rsidR="009A0128" w:rsidRDefault="00000000">
      <w:pPr>
        <w:tabs>
          <w:tab w:val="left" w:pos="9560"/>
        </w:tabs>
        <w:ind w:left="20"/>
        <w:rPr>
          <w:sz w:val="20"/>
          <w:szCs w:val="20"/>
        </w:rPr>
      </w:pPr>
      <w:r>
        <w:rPr>
          <w:rFonts w:eastAsia="Times New Roman"/>
          <w:b/>
          <w:bCs/>
          <w:sz w:val="20"/>
          <w:szCs w:val="20"/>
        </w:rPr>
        <w:t>Brown University</w:t>
      </w:r>
      <w:r>
        <w:rPr>
          <w:rFonts w:eastAsia="Times New Roman"/>
          <w:sz w:val="20"/>
          <w:szCs w:val="20"/>
        </w:rPr>
        <w:t>, Watson Institute, 3.88 GPA</w:t>
      </w:r>
      <w:r>
        <w:rPr>
          <w:sz w:val="20"/>
          <w:szCs w:val="20"/>
        </w:rPr>
        <w:tab/>
      </w:r>
      <w:r>
        <w:rPr>
          <w:rFonts w:eastAsia="Times New Roman"/>
          <w:sz w:val="19"/>
          <w:szCs w:val="19"/>
        </w:rPr>
        <w:t>Providence, RI</w:t>
      </w:r>
    </w:p>
    <w:p w14:paraId="3C080180" w14:textId="77777777" w:rsidR="009A0128" w:rsidRDefault="009A0128">
      <w:pPr>
        <w:spacing w:line="32" w:lineRule="exact"/>
        <w:rPr>
          <w:rFonts w:eastAsia="Times New Roman"/>
          <w:b/>
          <w:bCs/>
          <w:i/>
          <w:iCs/>
          <w:sz w:val="21"/>
          <w:szCs w:val="21"/>
        </w:rPr>
      </w:pPr>
    </w:p>
    <w:p w14:paraId="1A2E5934" w14:textId="77777777" w:rsidR="009A0128" w:rsidRDefault="00000000">
      <w:pPr>
        <w:tabs>
          <w:tab w:val="left" w:pos="9900"/>
        </w:tabs>
        <w:ind w:left="740"/>
        <w:rPr>
          <w:sz w:val="20"/>
          <w:szCs w:val="20"/>
        </w:rPr>
      </w:pPr>
      <w:r>
        <w:rPr>
          <w:rFonts w:eastAsia="Times New Roman"/>
          <w:sz w:val="20"/>
          <w:szCs w:val="20"/>
        </w:rPr>
        <w:t>Master of Public Affairs</w:t>
      </w:r>
      <w:r>
        <w:rPr>
          <w:sz w:val="20"/>
          <w:szCs w:val="20"/>
        </w:rPr>
        <w:tab/>
      </w:r>
      <w:r>
        <w:rPr>
          <w:rFonts w:eastAsia="Times New Roman"/>
          <w:sz w:val="20"/>
          <w:szCs w:val="20"/>
        </w:rPr>
        <w:t>May 2022</w:t>
      </w:r>
    </w:p>
    <w:p w14:paraId="7F20E139" w14:textId="77777777" w:rsidR="009A0128" w:rsidRDefault="00000000">
      <w:pPr>
        <w:tabs>
          <w:tab w:val="left" w:pos="9380"/>
        </w:tabs>
        <w:rPr>
          <w:sz w:val="20"/>
          <w:szCs w:val="20"/>
        </w:rPr>
      </w:pPr>
      <w:r>
        <w:rPr>
          <w:rFonts w:eastAsia="Times New Roman"/>
          <w:b/>
          <w:bCs/>
          <w:sz w:val="20"/>
          <w:szCs w:val="20"/>
        </w:rPr>
        <w:t>Drexel University</w:t>
      </w:r>
      <w:r>
        <w:rPr>
          <w:rFonts w:eastAsia="Times New Roman"/>
          <w:sz w:val="20"/>
          <w:szCs w:val="20"/>
        </w:rPr>
        <w:t>, Magna Cum Laude with 3.77 GPA</w:t>
      </w:r>
      <w:r>
        <w:rPr>
          <w:sz w:val="20"/>
          <w:szCs w:val="20"/>
        </w:rPr>
        <w:tab/>
      </w:r>
      <w:r>
        <w:rPr>
          <w:rFonts w:eastAsia="Times New Roman"/>
          <w:sz w:val="20"/>
          <w:szCs w:val="20"/>
        </w:rPr>
        <w:t>Philadelphia, PA</w:t>
      </w:r>
    </w:p>
    <w:p w14:paraId="2B6D56E6" w14:textId="77777777" w:rsidR="009A0128" w:rsidRDefault="00000000">
      <w:pPr>
        <w:tabs>
          <w:tab w:val="left" w:pos="9900"/>
        </w:tabs>
        <w:ind w:left="740"/>
        <w:rPr>
          <w:sz w:val="20"/>
          <w:szCs w:val="20"/>
        </w:rPr>
      </w:pPr>
      <w:r>
        <w:rPr>
          <w:rFonts w:eastAsia="Times New Roman"/>
          <w:sz w:val="20"/>
          <w:szCs w:val="20"/>
        </w:rPr>
        <w:t>Bachelor of Arts in Mathematics; Minor in Global Studies</w:t>
      </w:r>
      <w:r>
        <w:rPr>
          <w:sz w:val="20"/>
          <w:szCs w:val="20"/>
        </w:rPr>
        <w:tab/>
      </w:r>
      <w:r>
        <w:rPr>
          <w:rFonts w:eastAsia="Times New Roman"/>
          <w:sz w:val="20"/>
          <w:szCs w:val="20"/>
        </w:rPr>
        <w:t>June 2019</w:t>
      </w:r>
    </w:p>
    <w:p w14:paraId="1CAB6D87" w14:textId="77777777" w:rsidR="009A0128" w:rsidRDefault="00000000">
      <w:pPr>
        <w:ind w:left="740"/>
        <w:rPr>
          <w:sz w:val="20"/>
          <w:szCs w:val="20"/>
        </w:rPr>
      </w:pPr>
      <w:r>
        <w:rPr>
          <w:rFonts w:eastAsia="Times New Roman"/>
          <w:sz w:val="20"/>
          <w:szCs w:val="20"/>
        </w:rPr>
        <w:t>Honors Program, Pennoni Honors College</w:t>
      </w:r>
    </w:p>
    <w:p w14:paraId="7795A1D1" w14:textId="77777777" w:rsidR="009A0128" w:rsidRDefault="009A0128">
      <w:pPr>
        <w:spacing w:line="6" w:lineRule="exact"/>
        <w:rPr>
          <w:rFonts w:eastAsia="Times New Roman"/>
          <w:b/>
          <w:bCs/>
          <w:i/>
          <w:iCs/>
          <w:sz w:val="21"/>
          <w:szCs w:val="21"/>
        </w:rPr>
      </w:pPr>
    </w:p>
    <w:p w14:paraId="426DBD98" w14:textId="77777777" w:rsidR="009A0128" w:rsidRDefault="00000000">
      <w:pPr>
        <w:ind w:right="-39"/>
        <w:jc w:val="center"/>
        <w:rPr>
          <w:sz w:val="20"/>
          <w:szCs w:val="20"/>
        </w:rPr>
      </w:pPr>
      <w:r>
        <w:rPr>
          <w:rFonts w:eastAsia="Times New Roman"/>
          <w:b/>
          <w:bCs/>
          <w:sz w:val="21"/>
          <w:szCs w:val="21"/>
        </w:rPr>
        <w:t>Skills</w:t>
      </w:r>
    </w:p>
    <w:p w14:paraId="070F5500" w14:textId="77777777" w:rsidR="009A0128" w:rsidRDefault="009A0128">
      <w:pPr>
        <w:spacing w:line="27" w:lineRule="exact"/>
        <w:rPr>
          <w:rFonts w:eastAsia="Times New Roman"/>
          <w:b/>
          <w:bCs/>
          <w:i/>
          <w:iCs/>
          <w:sz w:val="21"/>
          <w:szCs w:val="21"/>
        </w:rPr>
      </w:pPr>
    </w:p>
    <w:p w14:paraId="723CA03D" w14:textId="77777777" w:rsidR="009A0128" w:rsidRDefault="00000000">
      <w:pPr>
        <w:rPr>
          <w:sz w:val="20"/>
          <w:szCs w:val="20"/>
        </w:rPr>
      </w:pPr>
      <w:r>
        <w:rPr>
          <w:rFonts w:eastAsia="Times New Roman"/>
          <w:i/>
          <w:iCs/>
          <w:sz w:val="20"/>
          <w:szCs w:val="20"/>
        </w:rPr>
        <w:t>Application Platforms</w:t>
      </w:r>
      <w:r>
        <w:rPr>
          <w:rFonts w:eastAsia="Times New Roman"/>
          <w:sz w:val="20"/>
          <w:szCs w:val="20"/>
        </w:rPr>
        <w:t>: Salesforce.com, WordPress, MS Office, Basware Verian, Elite, QGIS, Vensim</w:t>
      </w:r>
    </w:p>
    <w:p w14:paraId="1ADC29B1" w14:textId="77777777" w:rsidR="009A0128" w:rsidRDefault="009A0128">
      <w:pPr>
        <w:spacing w:line="28" w:lineRule="exact"/>
        <w:rPr>
          <w:rFonts w:eastAsia="Times New Roman"/>
          <w:b/>
          <w:bCs/>
          <w:i/>
          <w:iCs/>
          <w:sz w:val="21"/>
          <w:szCs w:val="21"/>
        </w:rPr>
      </w:pPr>
    </w:p>
    <w:p w14:paraId="0B382393" w14:textId="77777777" w:rsidR="009A0128" w:rsidRDefault="00000000">
      <w:pPr>
        <w:rPr>
          <w:sz w:val="20"/>
          <w:szCs w:val="20"/>
        </w:rPr>
      </w:pPr>
      <w:r>
        <w:rPr>
          <w:rFonts w:eastAsia="Times New Roman"/>
          <w:i/>
          <w:iCs/>
          <w:sz w:val="20"/>
          <w:szCs w:val="20"/>
        </w:rPr>
        <w:t>Programming Languages</w:t>
      </w:r>
      <w:r>
        <w:rPr>
          <w:rFonts w:eastAsia="Times New Roman"/>
          <w:sz w:val="20"/>
          <w:szCs w:val="20"/>
        </w:rPr>
        <w:t>: C++, SQL, VBA</w:t>
      </w:r>
    </w:p>
    <w:sectPr w:rsidR="009A0128">
      <w:type w:val="continuous"/>
      <w:pgSz w:w="12240" w:h="15840"/>
      <w:pgMar w:top="487" w:right="740" w:bottom="0" w:left="72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649"/>
    <w:multiLevelType w:val="hybridMultilevel"/>
    <w:tmpl w:val="1B3C1E2E"/>
    <w:lvl w:ilvl="0" w:tplc="25A47C8E">
      <w:start w:val="1"/>
      <w:numFmt w:val="bullet"/>
      <w:lvlText w:val="•"/>
      <w:lvlJc w:val="left"/>
    </w:lvl>
    <w:lvl w:ilvl="1" w:tplc="BCA0BF4E">
      <w:numFmt w:val="decimal"/>
      <w:lvlText w:val=""/>
      <w:lvlJc w:val="left"/>
    </w:lvl>
    <w:lvl w:ilvl="2" w:tplc="A8844596">
      <w:numFmt w:val="decimal"/>
      <w:lvlText w:val=""/>
      <w:lvlJc w:val="left"/>
    </w:lvl>
    <w:lvl w:ilvl="3" w:tplc="1D521C7E">
      <w:numFmt w:val="decimal"/>
      <w:lvlText w:val=""/>
      <w:lvlJc w:val="left"/>
    </w:lvl>
    <w:lvl w:ilvl="4" w:tplc="617AEF2C">
      <w:numFmt w:val="decimal"/>
      <w:lvlText w:val=""/>
      <w:lvlJc w:val="left"/>
    </w:lvl>
    <w:lvl w:ilvl="5" w:tplc="16426390">
      <w:numFmt w:val="decimal"/>
      <w:lvlText w:val=""/>
      <w:lvlJc w:val="left"/>
    </w:lvl>
    <w:lvl w:ilvl="6" w:tplc="12EEA134">
      <w:numFmt w:val="decimal"/>
      <w:lvlText w:val=""/>
      <w:lvlJc w:val="left"/>
    </w:lvl>
    <w:lvl w:ilvl="7" w:tplc="EF067260">
      <w:numFmt w:val="decimal"/>
      <w:lvlText w:val=""/>
      <w:lvlJc w:val="left"/>
    </w:lvl>
    <w:lvl w:ilvl="8" w:tplc="434E8770">
      <w:numFmt w:val="decimal"/>
      <w:lvlText w:val=""/>
      <w:lvlJc w:val="left"/>
    </w:lvl>
  </w:abstractNum>
  <w:abstractNum w:abstractNumId="1" w15:restartNumberingAfterBreak="0">
    <w:nsid w:val="000041BB"/>
    <w:multiLevelType w:val="hybridMultilevel"/>
    <w:tmpl w:val="B722365C"/>
    <w:lvl w:ilvl="0" w:tplc="F214AC36">
      <w:start w:val="1"/>
      <w:numFmt w:val="bullet"/>
      <w:lvlText w:val="•"/>
      <w:lvlJc w:val="left"/>
    </w:lvl>
    <w:lvl w:ilvl="1" w:tplc="1FCE8C54">
      <w:numFmt w:val="decimal"/>
      <w:lvlText w:val=""/>
      <w:lvlJc w:val="left"/>
    </w:lvl>
    <w:lvl w:ilvl="2" w:tplc="173A8CF8">
      <w:numFmt w:val="decimal"/>
      <w:lvlText w:val=""/>
      <w:lvlJc w:val="left"/>
    </w:lvl>
    <w:lvl w:ilvl="3" w:tplc="78B06392">
      <w:numFmt w:val="decimal"/>
      <w:lvlText w:val=""/>
      <w:lvlJc w:val="left"/>
    </w:lvl>
    <w:lvl w:ilvl="4" w:tplc="7018B976">
      <w:numFmt w:val="decimal"/>
      <w:lvlText w:val=""/>
      <w:lvlJc w:val="left"/>
    </w:lvl>
    <w:lvl w:ilvl="5" w:tplc="549C48A2">
      <w:numFmt w:val="decimal"/>
      <w:lvlText w:val=""/>
      <w:lvlJc w:val="left"/>
    </w:lvl>
    <w:lvl w:ilvl="6" w:tplc="F27400F8">
      <w:numFmt w:val="decimal"/>
      <w:lvlText w:val=""/>
      <w:lvlJc w:val="left"/>
    </w:lvl>
    <w:lvl w:ilvl="7" w:tplc="7E0031A4">
      <w:numFmt w:val="decimal"/>
      <w:lvlText w:val=""/>
      <w:lvlJc w:val="left"/>
    </w:lvl>
    <w:lvl w:ilvl="8" w:tplc="CF28EF20">
      <w:numFmt w:val="decimal"/>
      <w:lvlText w:val=""/>
      <w:lvlJc w:val="left"/>
    </w:lvl>
  </w:abstractNum>
  <w:abstractNum w:abstractNumId="2" w15:restartNumberingAfterBreak="0">
    <w:nsid w:val="00005AF1"/>
    <w:multiLevelType w:val="hybridMultilevel"/>
    <w:tmpl w:val="C9125CD2"/>
    <w:lvl w:ilvl="0" w:tplc="648A7F9C">
      <w:start w:val="1"/>
      <w:numFmt w:val="bullet"/>
      <w:lvlText w:val="•"/>
      <w:lvlJc w:val="left"/>
    </w:lvl>
    <w:lvl w:ilvl="1" w:tplc="203C1FD2">
      <w:numFmt w:val="decimal"/>
      <w:lvlText w:val=""/>
      <w:lvlJc w:val="left"/>
    </w:lvl>
    <w:lvl w:ilvl="2" w:tplc="3C4A58B0">
      <w:numFmt w:val="decimal"/>
      <w:lvlText w:val=""/>
      <w:lvlJc w:val="left"/>
    </w:lvl>
    <w:lvl w:ilvl="3" w:tplc="F2BCBC28">
      <w:numFmt w:val="decimal"/>
      <w:lvlText w:val=""/>
      <w:lvlJc w:val="left"/>
    </w:lvl>
    <w:lvl w:ilvl="4" w:tplc="B9CA2A6E">
      <w:numFmt w:val="decimal"/>
      <w:lvlText w:val=""/>
      <w:lvlJc w:val="left"/>
    </w:lvl>
    <w:lvl w:ilvl="5" w:tplc="3FD8C226">
      <w:numFmt w:val="decimal"/>
      <w:lvlText w:val=""/>
      <w:lvlJc w:val="left"/>
    </w:lvl>
    <w:lvl w:ilvl="6" w:tplc="B0F66BA8">
      <w:numFmt w:val="decimal"/>
      <w:lvlText w:val=""/>
      <w:lvlJc w:val="left"/>
    </w:lvl>
    <w:lvl w:ilvl="7" w:tplc="88E650E8">
      <w:numFmt w:val="decimal"/>
      <w:lvlText w:val=""/>
      <w:lvlJc w:val="left"/>
    </w:lvl>
    <w:lvl w:ilvl="8" w:tplc="545EED04">
      <w:numFmt w:val="decimal"/>
      <w:lvlText w:val=""/>
      <w:lvlJc w:val="left"/>
    </w:lvl>
  </w:abstractNum>
  <w:abstractNum w:abstractNumId="3" w15:restartNumberingAfterBreak="0">
    <w:nsid w:val="00005F90"/>
    <w:multiLevelType w:val="hybridMultilevel"/>
    <w:tmpl w:val="BB1497E4"/>
    <w:lvl w:ilvl="0" w:tplc="7FEE49C8">
      <w:start w:val="1"/>
      <w:numFmt w:val="bullet"/>
      <w:lvlText w:val="•"/>
      <w:lvlJc w:val="left"/>
    </w:lvl>
    <w:lvl w:ilvl="1" w:tplc="115AEA44">
      <w:numFmt w:val="decimal"/>
      <w:lvlText w:val=""/>
      <w:lvlJc w:val="left"/>
    </w:lvl>
    <w:lvl w:ilvl="2" w:tplc="B1F2013A">
      <w:numFmt w:val="decimal"/>
      <w:lvlText w:val=""/>
      <w:lvlJc w:val="left"/>
    </w:lvl>
    <w:lvl w:ilvl="3" w:tplc="5A12E5BE">
      <w:numFmt w:val="decimal"/>
      <w:lvlText w:val=""/>
      <w:lvlJc w:val="left"/>
    </w:lvl>
    <w:lvl w:ilvl="4" w:tplc="6CC8912A">
      <w:numFmt w:val="decimal"/>
      <w:lvlText w:val=""/>
      <w:lvlJc w:val="left"/>
    </w:lvl>
    <w:lvl w:ilvl="5" w:tplc="70DAFAB4">
      <w:numFmt w:val="decimal"/>
      <w:lvlText w:val=""/>
      <w:lvlJc w:val="left"/>
    </w:lvl>
    <w:lvl w:ilvl="6" w:tplc="5B4A7F94">
      <w:numFmt w:val="decimal"/>
      <w:lvlText w:val=""/>
      <w:lvlJc w:val="left"/>
    </w:lvl>
    <w:lvl w:ilvl="7" w:tplc="C7E2AD1C">
      <w:numFmt w:val="decimal"/>
      <w:lvlText w:val=""/>
      <w:lvlJc w:val="left"/>
    </w:lvl>
    <w:lvl w:ilvl="8" w:tplc="A156E8EC">
      <w:numFmt w:val="decimal"/>
      <w:lvlText w:val=""/>
      <w:lvlJc w:val="left"/>
    </w:lvl>
  </w:abstractNum>
  <w:abstractNum w:abstractNumId="4" w15:restartNumberingAfterBreak="0">
    <w:nsid w:val="00006952"/>
    <w:multiLevelType w:val="hybridMultilevel"/>
    <w:tmpl w:val="CA26ACFE"/>
    <w:lvl w:ilvl="0" w:tplc="06CE87F8">
      <w:start w:val="1"/>
      <w:numFmt w:val="bullet"/>
      <w:lvlText w:val="•"/>
      <w:lvlJc w:val="left"/>
    </w:lvl>
    <w:lvl w:ilvl="1" w:tplc="A9DE142C">
      <w:numFmt w:val="decimal"/>
      <w:lvlText w:val=""/>
      <w:lvlJc w:val="left"/>
    </w:lvl>
    <w:lvl w:ilvl="2" w:tplc="5EBCB546">
      <w:numFmt w:val="decimal"/>
      <w:lvlText w:val=""/>
      <w:lvlJc w:val="left"/>
    </w:lvl>
    <w:lvl w:ilvl="3" w:tplc="C9EE54C4">
      <w:numFmt w:val="decimal"/>
      <w:lvlText w:val=""/>
      <w:lvlJc w:val="left"/>
    </w:lvl>
    <w:lvl w:ilvl="4" w:tplc="79B0EB1A">
      <w:numFmt w:val="decimal"/>
      <w:lvlText w:val=""/>
      <w:lvlJc w:val="left"/>
    </w:lvl>
    <w:lvl w:ilvl="5" w:tplc="F51A875E">
      <w:numFmt w:val="decimal"/>
      <w:lvlText w:val=""/>
      <w:lvlJc w:val="left"/>
    </w:lvl>
    <w:lvl w:ilvl="6" w:tplc="A59E397A">
      <w:numFmt w:val="decimal"/>
      <w:lvlText w:val=""/>
      <w:lvlJc w:val="left"/>
    </w:lvl>
    <w:lvl w:ilvl="7" w:tplc="50C03902">
      <w:numFmt w:val="decimal"/>
      <w:lvlText w:val=""/>
      <w:lvlJc w:val="left"/>
    </w:lvl>
    <w:lvl w:ilvl="8" w:tplc="5B2AB21C">
      <w:numFmt w:val="decimal"/>
      <w:lvlText w:val=""/>
      <w:lvlJc w:val="left"/>
    </w:lvl>
  </w:abstractNum>
  <w:abstractNum w:abstractNumId="5" w15:restartNumberingAfterBreak="0">
    <w:nsid w:val="00006DF1"/>
    <w:multiLevelType w:val="hybridMultilevel"/>
    <w:tmpl w:val="B3262752"/>
    <w:lvl w:ilvl="0" w:tplc="D654CBB4">
      <w:start w:val="1"/>
      <w:numFmt w:val="bullet"/>
      <w:lvlText w:val="•"/>
      <w:lvlJc w:val="left"/>
    </w:lvl>
    <w:lvl w:ilvl="1" w:tplc="57301E98">
      <w:numFmt w:val="decimal"/>
      <w:lvlText w:val=""/>
      <w:lvlJc w:val="left"/>
    </w:lvl>
    <w:lvl w:ilvl="2" w:tplc="036CC67A">
      <w:numFmt w:val="decimal"/>
      <w:lvlText w:val=""/>
      <w:lvlJc w:val="left"/>
    </w:lvl>
    <w:lvl w:ilvl="3" w:tplc="BF4AF72E">
      <w:numFmt w:val="decimal"/>
      <w:lvlText w:val=""/>
      <w:lvlJc w:val="left"/>
    </w:lvl>
    <w:lvl w:ilvl="4" w:tplc="467E9F66">
      <w:numFmt w:val="decimal"/>
      <w:lvlText w:val=""/>
      <w:lvlJc w:val="left"/>
    </w:lvl>
    <w:lvl w:ilvl="5" w:tplc="85E8AC32">
      <w:numFmt w:val="decimal"/>
      <w:lvlText w:val=""/>
      <w:lvlJc w:val="left"/>
    </w:lvl>
    <w:lvl w:ilvl="6" w:tplc="8E84CA6A">
      <w:numFmt w:val="decimal"/>
      <w:lvlText w:val=""/>
      <w:lvlJc w:val="left"/>
    </w:lvl>
    <w:lvl w:ilvl="7" w:tplc="E2BE2C76">
      <w:numFmt w:val="decimal"/>
      <w:lvlText w:val=""/>
      <w:lvlJc w:val="left"/>
    </w:lvl>
    <w:lvl w:ilvl="8" w:tplc="179053CA">
      <w:numFmt w:val="decimal"/>
      <w:lvlText w:val=""/>
      <w:lvlJc w:val="left"/>
    </w:lvl>
  </w:abstractNum>
  <w:num w:numId="1" w16cid:durableId="887761572">
    <w:abstractNumId w:val="4"/>
  </w:num>
  <w:num w:numId="2" w16cid:durableId="326246605">
    <w:abstractNumId w:val="3"/>
  </w:num>
  <w:num w:numId="3" w16cid:durableId="817961731">
    <w:abstractNumId w:val="0"/>
  </w:num>
  <w:num w:numId="4" w16cid:durableId="1419865384">
    <w:abstractNumId w:val="5"/>
  </w:num>
  <w:num w:numId="5" w16cid:durableId="1918712311">
    <w:abstractNumId w:val="2"/>
  </w:num>
  <w:num w:numId="6" w16cid:durableId="871843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8"/>
    <w:rsid w:val="00184DAA"/>
    <w:rsid w:val="009A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A370"/>
  <w15:docId w15:val="{C6DD6528-83B6-403C-8EAE-073F0AF9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Lyanda</cp:lastModifiedBy>
  <cp:revision>2</cp:revision>
  <dcterms:created xsi:type="dcterms:W3CDTF">2022-09-16T15:59:00Z</dcterms:created>
  <dcterms:modified xsi:type="dcterms:W3CDTF">2022-09-16T15:59:00Z</dcterms:modified>
</cp:coreProperties>
</file>