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4A5D2" w14:textId="00349075" w:rsidR="00A40DEC" w:rsidRPr="00CE5461" w:rsidRDefault="00A40DEC" w:rsidP="00545CA8">
      <w:pPr>
        <w:pStyle w:val="Heading1"/>
        <w:spacing w:before="0" w:line="360" w:lineRule="auto"/>
        <w:jc w:val="center"/>
        <w:rPr>
          <w:rFonts w:ascii="Arial" w:hAnsi="Arial" w:cs="Arial"/>
          <w:b w:val="0"/>
          <w:bCs w:val="0"/>
          <w:color w:val="auto"/>
        </w:rPr>
      </w:pPr>
      <w:r w:rsidRPr="00CE5461">
        <w:rPr>
          <w:rFonts w:ascii="Arial" w:hAnsi="Arial" w:cs="Arial"/>
          <w:b w:val="0"/>
          <w:bCs w:val="0"/>
          <w:color w:val="auto"/>
        </w:rPr>
        <w:t>Announcement of the</w:t>
      </w:r>
    </w:p>
    <w:p w14:paraId="26228207" w14:textId="5AC0D768" w:rsidR="00DE2FB6" w:rsidRPr="00CE5461" w:rsidRDefault="004759A9" w:rsidP="00545CA8">
      <w:pPr>
        <w:pStyle w:val="Heading1"/>
        <w:spacing w:before="0" w:line="360" w:lineRule="auto"/>
        <w:jc w:val="center"/>
        <w:rPr>
          <w:rFonts w:ascii="Arial" w:hAnsi="Arial" w:cs="Arial"/>
          <w:color w:val="0070C0"/>
          <w:sz w:val="40"/>
          <w:szCs w:val="40"/>
        </w:rPr>
      </w:pPr>
      <w:r w:rsidRPr="00CE5461">
        <w:rPr>
          <w:rFonts w:ascii="Arial" w:hAnsi="Arial" w:cs="Arial"/>
          <w:color w:val="0070C0"/>
          <w:sz w:val="40"/>
          <w:szCs w:val="40"/>
        </w:rPr>
        <w:t>Meditari Accountancy Research Conference 2026</w:t>
      </w:r>
    </w:p>
    <w:p w14:paraId="79457AE3" w14:textId="79CE3A28" w:rsidR="00357B94" w:rsidRPr="00CE5461" w:rsidRDefault="008A79AC" w:rsidP="00545CA8">
      <w:pPr>
        <w:spacing w:line="360" w:lineRule="auto"/>
        <w:jc w:val="center"/>
        <w:rPr>
          <w:rFonts w:ascii="Arial" w:hAnsi="Arial" w:cs="Arial"/>
          <w:sz w:val="28"/>
          <w:szCs w:val="28"/>
        </w:rPr>
      </w:pPr>
      <w:r w:rsidRPr="00CE5461">
        <w:rPr>
          <w:rFonts w:ascii="Arial" w:hAnsi="Arial" w:cs="Arial"/>
          <w:sz w:val="28"/>
          <w:szCs w:val="28"/>
        </w:rPr>
        <w:t>h</w:t>
      </w:r>
      <w:r w:rsidR="004759A9" w:rsidRPr="00CE5461">
        <w:rPr>
          <w:rFonts w:ascii="Arial" w:hAnsi="Arial" w:cs="Arial"/>
          <w:sz w:val="28"/>
          <w:szCs w:val="28"/>
        </w:rPr>
        <w:t xml:space="preserve">osted by the Accounting &amp; Finance Department, University of Leeds, </w:t>
      </w:r>
    </w:p>
    <w:p w14:paraId="058F1E82" w14:textId="04F8C682" w:rsidR="008A79AC" w:rsidRPr="00CE5461" w:rsidRDefault="00390150" w:rsidP="00545CA8">
      <w:pPr>
        <w:spacing w:line="360" w:lineRule="auto"/>
        <w:jc w:val="center"/>
        <w:rPr>
          <w:rFonts w:ascii="Arial" w:hAnsi="Arial" w:cs="Arial"/>
          <w:b/>
          <w:bCs/>
          <w:sz w:val="28"/>
          <w:szCs w:val="28"/>
        </w:rPr>
      </w:pPr>
      <w:r w:rsidRPr="00CE5461">
        <w:rPr>
          <w:rFonts w:ascii="Arial" w:hAnsi="Arial" w:cs="Arial"/>
          <w:sz w:val="28"/>
          <w:szCs w:val="28"/>
        </w:rPr>
        <w:t xml:space="preserve">Leeds, </w:t>
      </w:r>
      <w:r w:rsidR="004759A9" w:rsidRPr="00CE5461">
        <w:rPr>
          <w:rFonts w:ascii="Arial" w:hAnsi="Arial" w:cs="Arial"/>
          <w:sz w:val="28"/>
          <w:szCs w:val="28"/>
        </w:rPr>
        <w:t>U</w:t>
      </w:r>
      <w:r w:rsidR="00357B94" w:rsidRPr="00CE5461">
        <w:rPr>
          <w:rFonts w:ascii="Arial" w:hAnsi="Arial" w:cs="Arial"/>
          <w:sz w:val="28"/>
          <w:szCs w:val="28"/>
        </w:rPr>
        <w:t xml:space="preserve">nited </w:t>
      </w:r>
      <w:r w:rsidR="004759A9" w:rsidRPr="00CE5461">
        <w:rPr>
          <w:rFonts w:ascii="Arial" w:hAnsi="Arial" w:cs="Arial"/>
          <w:sz w:val="28"/>
          <w:szCs w:val="28"/>
        </w:rPr>
        <w:t>K</w:t>
      </w:r>
      <w:r w:rsidR="00357B94" w:rsidRPr="00CE5461">
        <w:rPr>
          <w:rFonts w:ascii="Arial" w:hAnsi="Arial" w:cs="Arial"/>
          <w:sz w:val="28"/>
          <w:szCs w:val="28"/>
        </w:rPr>
        <w:t>ingdom</w:t>
      </w:r>
      <w:r w:rsidR="004759A9" w:rsidRPr="00CE5461">
        <w:rPr>
          <w:rFonts w:ascii="Arial" w:hAnsi="Arial" w:cs="Arial"/>
          <w:sz w:val="28"/>
          <w:szCs w:val="28"/>
        </w:rPr>
        <w:br/>
      </w:r>
      <w:r w:rsidR="004759A9" w:rsidRPr="00CE5461">
        <w:rPr>
          <w:rFonts w:ascii="Arial" w:hAnsi="Arial" w:cs="Arial"/>
          <w:b/>
          <w:bCs/>
          <w:sz w:val="28"/>
          <w:szCs w:val="28"/>
        </w:rPr>
        <w:t xml:space="preserve">3–4 September 2026 </w:t>
      </w:r>
    </w:p>
    <w:p w14:paraId="491707A4" w14:textId="77777777" w:rsidR="00CE5461" w:rsidRDefault="004C113B" w:rsidP="00357B94">
      <w:pPr>
        <w:pStyle w:val="Heading2"/>
        <w:spacing w:before="0" w:line="360" w:lineRule="auto"/>
        <w:rPr>
          <w:rFonts w:ascii="Arial" w:hAnsi="Arial" w:cs="Arial"/>
          <w:color w:val="0070C0"/>
        </w:rPr>
      </w:pPr>
      <w:r w:rsidRPr="00CE5461">
        <w:rPr>
          <w:rFonts w:ascii="Arial" w:hAnsi="Arial" w:cs="Arial"/>
          <w:noProof/>
          <w:color w:val="auto"/>
        </w:rPr>
        <w:drawing>
          <wp:inline distT="0" distB="0" distL="0" distR="0" wp14:anchorId="59AD613C" wp14:editId="73FCD682">
            <wp:extent cx="5486400" cy="2743200"/>
            <wp:effectExtent l="0" t="0" r="0" b="0"/>
            <wp:docPr id="1971170687" name="Picture 2" descr="About us | Leeds University Business School | University of Le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bout us | Leeds University Business School | University of Leed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a:ln>
                      <a:noFill/>
                    </a:ln>
                  </pic:spPr>
                </pic:pic>
              </a:graphicData>
            </a:graphic>
          </wp:inline>
        </w:drawing>
      </w:r>
    </w:p>
    <w:p w14:paraId="6304E492" w14:textId="6B4ECCE3" w:rsidR="00DE2FB6" w:rsidRPr="00CE5461" w:rsidRDefault="004759A9" w:rsidP="00357B94">
      <w:pPr>
        <w:pStyle w:val="Heading2"/>
        <w:spacing w:before="0" w:line="360" w:lineRule="auto"/>
        <w:rPr>
          <w:rFonts w:ascii="Arial" w:hAnsi="Arial" w:cs="Arial"/>
          <w:color w:val="0070C0"/>
        </w:rPr>
      </w:pPr>
      <w:r w:rsidRPr="00CE5461">
        <w:rPr>
          <w:rFonts w:ascii="Arial" w:hAnsi="Arial" w:cs="Arial"/>
          <w:color w:val="0070C0"/>
        </w:rPr>
        <w:t>Conference Theme</w:t>
      </w:r>
    </w:p>
    <w:p w14:paraId="5D8B5B4D" w14:textId="5B500856" w:rsidR="00CE5461" w:rsidRPr="00CE5461" w:rsidRDefault="004759A9" w:rsidP="00CE5461">
      <w:pPr>
        <w:spacing w:line="360" w:lineRule="auto"/>
        <w:rPr>
          <w:rFonts w:ascii="Arial" w:hAnsi="Arial" w:cs="Arial"/>
        </w:rPr>
      </w:pPr>
      <w:r w:rsidRPr="00CE5461">
        <w:rPr>
          <w:rFonts w:ascii="Arial" w:hAnsi="Arial" w:cs="Arial"/>
        </w:rPr>
        <w:t>We welcome high-quality research papers across all areas of account</w:t>
      </w:r>
      <w:r w:rsidR="00D87E27">
        <w:rPr>
          <w:rFonts w:ascii="Arial" w:hAnsi="Arial" w:cs="Arial"/>
        </w:rPr>
        <w:t>ing</w:t>
      </w:r>
      <w:r w:rsidRPr="00CE5461">
        <w:rPr>
          <w:rFonts w:ascii="Arial" w:hAnsi="Arial" w:cs="Arial"/>
        </w:rPr>
        <w:t>, including but not limited to:</w:t>
      </w:r>
      <w:r w:rsidRPr="00CE5461">
        <w:rPr>
          <w:rFonts w:ascii="Arial" w:hAnsi="Arial" w:cs="Arial"/>
        </w:rPr>
        <w:br/>
      </w:r>
    </w:p>
    <w:p w14:paraId="6F48BE4F" w14:textId="77777777" w:rsidR="00CE5461" w:rsidRPr="00CE5461" w:rsidRDefault="00CE5461" w:rsidP="00CE5461">
      <w:pPr>
        <w:pStyle w:val="ListParagraph"/>
        <w:numPr>
          <w:ilvl w:val="0"/>
          <w:numId w:val="11"/>
        </w:numPr>
        <w:spacing w:line="360" w:lineRule="auto"/>
        <w:rPr>
          <w:rFonts w:ascii="Arial" w:hAnsi="Arial" w:cs="Arial"/>
        </w:rPr>
      </w:pPr>
      <w:r w:rsidRPr="00CE5461">
        <w:rPr>
          <w:rFonts w:ascii="Arial" w:hAnsi="Arial" w:cs="Arial"/>
        </w:rPr>
        <w:t>c</w:t>
      </w:r>
      <w:r w:rsidR="004759A9" w:rsidRPr="00CE5461">
        <w:rPr>
          <w:rFonts w:ascii="Arial" w:hAnsi="Arial" w:cs="Arial"/>
        </w:rPr>
        <w:t>orporate governance and accountability</w:t>
      </w:r>
      <w:r w:rsidRPr="00CE5461">
        <w:rPr>
          <w:rFonts w:ascii="Arial" w:hAnsi="Arial" w:cs="Arial"/>
        </w:rPr>
        <w:t>;</w:t>
      </w:r>
    </w:p>
    <w:p w14:paraId="02079CB5" w14:textId="78FAA00F" w:rsidR="00CE5461" w:rsidRPr="00CE5461" w:rsidRDefault="00CE5461" w:rsidP="00CE5461">
      <w:pPr>
        <w:pStyle w:val="ListParagraph"/>
        <w:numPr>
          <w:ilvl w:val="0"/>
          <w:numId w:val="11"/>
        </w:numPr>
        <w:spacing w:line="360" w:lineRule="auto"/>
        <w:rPr>
          <w:rFonts w:ascii="Arial" w:hAnsi="Arial" w:cs="Arial"/>
        </w:rPr>
      </w:pPr>
      <w:r w:rsidRPr="00CE5461">
        <w:rPr>
          <w:rFonts w:ascii="Arial" w:hAnsi="Arial" w:cs="Arial"/>
        </w:rPr>
        <w:t>e</w:t>
      </w:r>
      <w:r w:rsidR="004759A9" w:rsidRPr="00CE5461">
        <w:rPr>
          <w:rFonts w:ascii="Arial" w:hAnsi="Arial" w:cs="Arial"/>
        </w:rPr>
        <w:t>thics</w:t>
      </w:r>
      <w:r w:rsidRPr="00CE5461">
        <w:rPr>
          <w:rFonts w:ascii="Arial" w:hAnsi="Arial" w:cs="Arial"/>
        </w:rPr>
        <w:t xml:space="preserve"> and corporate social responsibility; </w:t>
      </w:r>
    </w:p>
    <w:p w14:paraId="17115A3B" w14:textId="70B49CC1" w:rsidR="00CE5461" w:rsidRPr="00CE5461" w:rsidRDefault="00CE5461" w:rsidP="00CE5461">
      <w:pPr>
        <w:pStyle w:val="ListParagraph"/>
        <w:numPr>
          <w:ilvl w:val="0"/>
          <w:numId w:val="11"/>
        </w:numPr>
        <w:spacing w:line="360" w:lineRule="auto"/>
        <w:rPr>
          <w:rFonts w:ascii="Arial" w:hAnsi="Arial" w:cs="Arial"/>
        </w:rPr>
      </w:pPr>
      <w:r w:rsidRPr="00CE5461">
        <w:rPr>
          <w:rFonts w:ascii="Arial" w:hAnsi="Arial" w:cs="Arial"/>
        </w:rPr>
        <w:t>all forms of s</w:t>
      </w:r>
      <w:r w:rsidR="004759A9" w:rsidRPr="00CE5461">
        <w:rPr>
          <w:rFonts w:ascii="Arial" w:hAnsi="Arial" w:cs="Arial"/>
        </w:rPr>
        <w:t>ustainability reportin</w:t>
      </w:r>
      <w:r w:rsidRPr="00CE5461">
        <w:rPr>
          <w:rFonts w:ascii="Arial" w:hAnsi="Arial" w:cs="Arial"/>
        </w:rPr>
        <w:t xml:space="preserve">g/accounting; </w:t>
      </w:r>
    </w:p>
    <w:p w14:paraId="2BC24629" w14:textId="4890EC27" w:rsidR="00CE5461" w:rsidRPr="00CE5461" w:rsidRDefault="00CE5461" w:rsidP="00CE5461">
      <w:pPr>
        <w:pStyle w:val="ListParagraph"/>
        <w:numPr>
          <w:ilvl w:val="0"/>
          <w:numId w:val="11"/>
        </w:numPr>
        <w:spacing w:line="360" w:lineRule="auto"/>
        <w:rPr>
          <w:rFonts w:ascii="Arial" w:hAnsi="Arial" w:cs="Arial"/>
        </w:rPr>
      </w:pPr>
      <w:r w:rsidRPr="00CE5461">
        <w:rPr>
          <w:rFonts w:ascii="Arial" w:hAnsi="Arial" w:cs="Arial"/>
        </w:rPr>
        <w:t>a</w:t>
      </w:r>
      <w:r w:rsidR="004759A9" w:rsidRPr="00CE5461">
        <w:rPr>
          <w:rFonts w:ascii="Arial" w:hAnsi="Arial" w:cs="Arial"/>
        </w:rPr>
        <w:t>udit</w:t>
      </w:r>
      <w:r w:rsidRPr="00CE5461">
        <w:rPr>
          <w:rFonts w:ascii="Arial" w:hAnsi="Arial" w:cs="Arial"/>
        </w:rPr>
        <w:t xml:space="preserve"> and </w:t>
      </w:r>
      <w:r w:rsidR="004759A9" w:rsidRPr="00CE5461">
        <w:rPr>
          <w:rFonts w:ascii="Arial" w:hAnsi="Arial" w:cs="Arial"/>
        </w:rPr>
        <w:t>assurance</w:t>
      </w:r>
      <w:r w:rsidRPr="00CE5461">
        <w:rPr>
          <w:rFonts w:ascii="Arial" w:hAnsi="Arial" w:cs="Arial"/>
        </w:rPr>
        <w:t>;</w:t>
      </w:r>
    </w:p>
    <w:p w14:paraId="7BFEF9C3" w14:textId="07AA3A01" w:rsidR="00CE5461" w:rsidRPr="00CE5461" w:rsidRDefault="00CE5461" w:rsidP="00CE5461">
      <w:pPr>
        <w:pStyle w:val="ListParagraph"/>
        <w:numPr>
          <w:ilvl w:val="0"/>
          <w:numId w:val="11"/>
        </w:numPr>
        <w:spacing w:line="360" w:lineRule="auto"/>
        <w:rPr>
          <w:rFonts w:ascii="Arial" w:hAnsi="Arial" w:cs="Arial"/>
        </w:rPr>
      </w:pPr>
      <w:r w:rsidRPr="00CE5461">
        <w:rPr>
          <w:rFonts w:ascii="Arial" w:hAnsi="Arial" w:cs="Arial"/>
        </w:rPr>
        <w:t>regulation of the accounting and auditing profession;</w:t>
      </w:r>
    </w:p>
    <w:p w14:paraId="3643E7F5" w14:textId="2BE5A825" w:rsidR="00CE5461" w:rsidRPr="00CE5461" w:rsidRDefault="00CE5461" w:rsidP="00CE5461">
      <w:pPr>
        <w:pStyle w:val="ListParagraph"/>
        <w:numPr>
          <w:ilvl w:val="0"/>
          <w:numId w:val="11"/>
        </w:numPr>
        <w:spacing w:line="360" w:lineRule="auto"/>
        <w:rPr>
          <w:rFonts w:ascii="Arial" w:hAnsi="Arial" w:cs="Arial"/>
        </w:rPr>
      </w:pPr>
      <w:r w:rsidRPr="00CE5461">
        <w:rPr>
          <w:rFonts w:ascii="Arial" w:hAnsi="Arial" w:cs="Arial"/>
        </w:rPr>
        <w:t>p</w:t>
      </w:r>
      <w:r w:rsidR="004759A9" w:rsidRPr="00CE5461">
        <w:rPr>
          <w:rFonts w:ascii="Arial" w:hAnsi="Arial" w:cs="Arial"/>
        </w:rPr>
        <w:t>ublic sector accounting</w:t>
      </w:r>
      <w:r w:rsidRPr="00CE5461">
        <w:rPr>
          <w:rFonts w:ascii="Arial" w:hAnsi="Arial" w:cs="Arial"/>
        </w:rPr>
        <w:t>, assurance and governance;</w:t>
      </w:r>
    </w:p>
    <w:p w14:paraId="221C3A20" w14:textId="77777777" w:rsidR="00CE5461" w:rsidRPr="00CE5461" w:rsidRDefault="00CE5461" w:rsidP="00CE5461">
      <w:pPr>
        <w:pStyle w:val="ListParagraph"/>
        <w:numPr>
          <w:ilvl w:val="0"/>
          <w:numId w:val="11"/>
        </w:numPr>
        <w:spacing w:line="360" w:lineRule="auto"/>
        <w:rPr>
          <w:rFonts w:ascii="Arial" w:hAnsi="Arial" w:cs="Arial"/>
        </w:rPr>
      </w:pPr>
      <w:r w:rsidRPr="00CE5461">
        <w:rPr>
          <w:rFonts w:ascii="Arial" w:hAnsi="Arial" w:cs="Arial"/>
        </w:rPr>
        <w:lastRenderedPageBreak/>
        <w:t xml:space="preserve">the relevance and application of emerging forms of technology for accounting and auditing </w:t>
      </w:r>
    </w:p>
    <w:p w14:paraId="631C6B75" w14:textId="77777777" w:rsidR="00CE5461" w:rsidRDefault="00CE5461" w:rsidP="00CE5461">
      <w:pPr>
        <w:pStyle w:val="ListParagraph"/>
        <w:numPr>
          <w:ilvl w:val="0"/>
          <w:numId w:val="11"/>
        </w:numPr>
        <w:spacing w:line="360" w:lineRule="auto"/>
        <w:rPr>
          <w:rFonts w:ascii="Arial" w:hAnsi="Arial" w:cs="Arial"/>
        </w:rPr>
      </w:pPr>
      <w:r w:rsidRPr="00CE5461">
        <w:rPr>
          <w:rFonts w:ascii="Arial" w:hAnsi="Arial" w:cs="Arial"/>
        </w:rPr>
        <w:t xml:space="preserve">accounting/assurance history </w:t>
      </w:r>
    </w:p>
    <w:p w14:paraId="4B235336" w14:textId="1D77094A" w:rsidR="00D87E27" w:rsidRPr="00CE5461" w:rsidRDefault="00D87E27" w:rsidP="00CE5461">
      <w:pPr>
        <w:pStyle w:val="ListParagraph"/>
        <w:numPr>
          <w:ilvl w:val="0"/>
          <w:numId w:val="11"/>
        </w:numPr>
        <w:spacing w:line="360" w:lineRule="auto"/>
        <w:rPr>
          <w:rFonts w:ascii="Arial" w:hAnsi="Arial" w:cs="Arial"/>
        </w:rPr>
      </w:pPr>
      <w:r>
        <w:rPr>
          <w:rFonts w:ascii="Arial" w:hAnsi="Arial" w:cs="Arial"/>
        </w:rPr>
        <w:t>matters related to the accounting profession</w:t>
      </w:r>
    </w:p>
    <w:p w14:paraId="1E0C2472" w14:textId="77777777" w:rsidR="00CE5461" w:rsidRPr="00CE5461" w:rsidRDefault="00CE5461" w:rsidP="00CE5461">
      <w:pPr>
        <w:pStyle w:val="ListParagraph"/>
        <w:spacing w:line="360" w:lineRule="auto"/>
        <w:rPr>
          <w:rFonts w:ascii="Arial" w:hAnsi="Arial" w:cs="Arial"/>
        </w:rPr>
      </w:pPr>
    </w:p>
    <w:p w14:paraId="4DC1B252" w14:textId="5453630F" w:rsidR="00DE2FB6" w:rsidRPr="00CE5461" w:rsidRDefault="004759A9" w:rsidP="0008629F">
      <w:pPr>
        <w:spacing w:line="360" w:lineRule="auto"/>
        <w:jc w:val="both"/>
        <w:rPr>
          <w:rFonts w:ascii="Arial" w:hAnsi="Arial" w:cs="Arial"/>
        </w:rPr>
      </w:pPr>
      <w:r w:rsidRPr="00CE5461">
        <w:rPr>
          <w:rFonts w:ascii="Arial" w:hAnsi="Arial" w:cs="Arial"/>
        </w:rPr>
        <w:t>We encourage submissions using a variety of methodologies—qualitative, quantitative, or mixed-method—offering fresh perspectives on critical issues in the field.</w:t>
      </w:r>
    </w:p>
    <w:p w14:paraId="7B6613D4" w14:textId="0CC87FE9" w:rsidR="000D1594" w:rsidRDefault="000D1594" w:rsidP="00545CA8">
      <w:pPr>
        <w:pStyle w:val="Heading2"/>
        <w:spacing w:before="0" w:line="360" w:lineRule="auto"/>
        <w:rPr>
          <w:rFonts w:ascii="Arial" w:hAnsi="Arial" w:cs="Arial"/>
          <w:color w:val="0070C0"/>
        </w:rPr>
      </w:pPr>
      <w:r w:rsidRPr="00014973">
        <w:rPr>
          <w:rFonts w:ascii="Arial" w:hAnsi="Arial" w:cs="Arial"/>
          <w:color w:val="0070C0"/>
        </w:rPr>
        <w:t>Plenary speakers</w:t>
      </w:r>
    </w:p>
    <w:p w14:paraId="511D882A" w14:textId="77777777" w:rsidR="00910F7C" w:rsidRPr="00910F7C" w:rsidRDefault="00910F7C" w:rsidP="00910F7C"/>
    <w:tbl>
      <w:tblPr>
        <w:tblStyle w:val="TableGrid"/>
        <w:tblW w:w="0" w:type="auto"/>
        <w:tblBorders>
          <w:insideH w:val="none" w:sz="0" w:space="0" w:color="auto"/>
          <w:insideV w:val="none" w:sz="0" w:space="0" w:color="auto"/>
        </w:tblBorders>
        <w:tblLook w:val="04A0" w:firstRow="1" w:lastRow="0" w:firstColumn="1" w:lastColumn="0" w:noHBand="0" w:noVBand="1"/>
      </w:tblPr>
      <w:tblGrid>
        <w:gridCol w:w="4315"/>
        <w:gridCol w:w="4315"/>
      </w:tblGrid>
      <w:tr w:rsidR="0010784A" w14:paraId="67E15944" w14:textId="77777777" w:rsidTr="001666A4">
        <w:tc>
          <w:tcPr>
            <w:tcW w:w="4315" w:type="dxa"/>
            <w:tcBorders>
              <w:top w:val="single" w:sz="4" w:space="0" w:color="auto"/>
              <w:bottom w:val="single" w:sz="4" w:space="0" w:color="auto"/>
              <w:right w:val="single" w:sz="4" w:space="0" w:color="auto"/>
            </w:tcBorders>
            <w:shd w:val="clear" w:color="auto" w:fill="8DB3E2" w:themeFill="text2" w:themeFillTint="66"/>
          </w:tcPr>
          <w:p w14:paraId="26829BEB" w14:textId="2A5E9E11" w:rsidR="0010784A" w:rsidRPr="00910F7C" w:rsidRDefault="0010784A" w:rsidP="0010784A">
            <w:pPr>
              <w:rPr>
                <w:b/>
                <w:bCs/>
                <w:color w:val="FFFFFF" w:themeColor="background1"/>
              </w:rPr>
            </w:pPr>
            <w:r w:rsidRPr="00910F7C">
              <w:rPr>
                <w:rFonts w:ascii="Arial" w:hAnsi="Arial" w:cs="Arial"/>
                <w:b/>
                <w:bCs/>
                <w:color w:val="FFFFFF" w:themeColor="background1"/>
              </w:rPr>
              <w:t>Josephine Jackson</w:t>
            </w:r>
          </w:p>
        </w:tc>
        <w:tc>
          <w:tcPr>
            <w:tcW w:w="4315" w:type="dxa"/>
            <w:tcBorders>
              <w:top w:val="single" w:sz="4" w:space="0" w:color="auto"/>
              <w:left w:val="single" w:sz="4" w:space="0" w:color="auto"/>
              <w:bottom w:val="single" w:sz="4" w:space="0" w:color="auto"/>
            </w:tcBorders>
            <w:shd w:val="clear" w:color="auto" w:fill="8DB3E2" w:themeFill="text2" w:themeFillTint="66"/>
          </w:tcPr>
          <w:p w14:paraId="7BA44469" w14:textId="5E182E16" w:rsidR="0010784A" w:rsidRPr="00910F7C" w:rsidRDefault="00910F7C" w:rsidP="0010784A">
            <w:pPr>
              <w:rPr>
                <w:b/>
                <w:bCs/>
                <w:color w:val="FFFFFF" w:themeColor="background1"/>
              </w:rPr>
            </w:pPr>
            <w:r w:rsidRPr="00910F7C">
              <w:rPr>
                <w:rFonts w:ascii="Arial" w:hAnsi="Arial" w:cs="Arial"/>
                <w:b/>
                <w:bCs/>
                <w:color w:val="FFFFFF" w:themeColor="background1"/>
              </w:rPr>
              <w:t xml:space="preserve">Christine Cooper </w:t>
            </w:r>
          </w:p>
        </w:tc>
      </w:tr>
      <w:tr w:rsidR="0010784A" w14:paraId="392AE0C7" w14:textId="77777777" w:rsidTr="001666A4">
        <w:tc>
          <w:tcPr>
            <w:tcW w:w="4315" w:type="dxa"/>
            <w:tcBorders>
              <w:top w:val="single" w:sz="4" w:space="0" w:color="auto"/>
              <w:right w:val="single" w:sz="4" w:space="0" w:color="auto"/>
            </w:tcBorders>
          </w:tcPr>
          <w:p w14:paraId="4B2A7FE9" w14:textId="5AAF3F69" w:rsidR="0010784A" w:rsidRDefault="00710CEA" w:rsidP="00384105">
            <w:pPr>
              <w:jc w:val="center"/>
            </w:pPr>
            <w:r>
              <w:rPr>
                <w:noProof/>
              </w:rPr>
              <w:drawing>
                <wp:inline distT="0" distB="0" distL="0" distR="0" wp14:anchorId="089FFF5C" wp14:editId="39970746">
                  <wp:extent cx="1847850" cy="1847850"/>
                  <wp:effectExtent l="0" t="0" r="0" b="0"/>
                  <wp:docPr id="618943205" name="Picture 1" descr="FRC’s Josephine Jackson appointed to IAASB 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C’s Josephine Jackson appointed to IAASB Boar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47850" cy="1847850"/>
                          </a:xfrm>
                          <a:prstGeom prst="rect">
                            <a:avLst/>
                          </a:prstGeom>
                          <a:noFill/>
                          <a:ln>
                            <a:noFill/>
                          </a:ln>
                        </pic:spPr>
                      </pic:pic>
                    </a:graphicData>
                  </a:graphic>
                </wp:inline>
              </w:drawing>
            </w:r>
          </w:p>
        </w:tc>
        <w:tc>
          <w:tcPr>
            <w:tcW w:w="4315" w:type="dxa"/>
            <w:tcBorders>
              <w:top w:val="single" w:sz="4" w:space="0" w:color="auto"/>
              <w:left w:val="single" w:sz="4" w:space="0" w:color="auto"/>
            </w:tcBorders>
          </w:tcPr>
          <w:p w14:paraId="3879F14D" w14:textId="7BA80D52" w:rsidR="0010784A" w:rsidRDefault="00910F7C" w:rsidP="0010784A">
            <w:r>
              <w:rPr>
                <w:noProof/>
                <w:lang w:val="en-NZ"/>
              </w:rPr>
              <w:drawing>
                <wp:anchor distT="0" distB="0" distL="114300" distR="114300" simplePos="0" relativeHeight="251662336" behindDoc="0" locked="0" layoutInCell="1" allowOverlap="1" wp14:anchorId="79140B15" wp14:editId="6F0A9525">
                  <wp:simplePos x="0" y="0"/>
                  <wp:positionH relativeFrom="column">
                    <wp:posOffset>441960</wp:posOffset>
                  </wp:positionH>
                  <wp:positionV relativeFrom="paragraph">
                    <wp:posOffset>20955</wp:posOffset>
                  </wp:positionV>
                  <wp:extent cx="1645920" cy="1824990"/>
                  <wp:effectExtent l="0" t="0" r="0" b="3810"/>
                  <wp:wrapTopAndBottom/>
                  <wp:docPr id="484865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r:link="rId9">
                            <a:extLst>
                              <a:ext uri="{28A0092B-C50C-407E-A947-70E740481C1C}">
                                <a14:useLocalDpi xmlns:a14="http://schemas.microsoft.com/office/drawing/2010/main" val="0"/>
                              </a:ext>
                            </a:extLst>
                          </a:blip>
                          <a:srcRect b="16490"/>
                          <a:stretch/>
                        </pic:blipFill>
                        <pic:spPr bwMode="auto">
                          <a:xfrm>
                            <a:off x="0" y="0"/>
                            <a:ext cx="1645920" cy="18249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10784A" w14:paraId="79CB6444" w14:textId="77777777" w:rsidTr="001666A4">
        <w:tc>
          <w:tcPr>
            <w:tcW w:w="4315" w:type="dxa"/>
            <w:tcBorders>
              <w:right w:val="single" w:sz="4" w:space="0" w:color="auto"/>
            </w:tcBorders>
          </w:tcPr>
          <w:p w14:paraId="3CFE08E9" w14:textId="19779843" w:rsidR="00910F7C" w:rsidRDefault="006D056A" w:rsidP="0010784A">
            <w:r w:rsidRPr="006D056A">
              <w:rPr>
                <w:rFonts w:ascii="Arial" w:hAnsi="Arial" w:cs="Arial"/>
              </w:rPr>
              <w:t>Josephine Jackson is the Director of International Audit and Assurance Standards Policy at the UK Financial Reporting Council (FRC), where she also leads the FRC’s ESG Group. In her role, she is responsible for audit quality initiatives, including the development of audit and assurance standards and guidance in the UK. Before joining the FRC, she served as Director of Audit Technical at Grant Thornton. Earlier in her career, she spent 15 years with PricewaterhouseCoopers, joining the firm in 1993 and working in its audit practice until 2008. She has also served as a Technical Advisor to former IAASB members Susan Jones and Marek Grabowski.</w:t>
            </w:r>
          </w:p>
        </w:tc>
        <w:tc>
          <w:tcPr>
            <w:tcW w:w="4315" w:type="dxa"/>
            <w:tcBorders>
              <w:left w:val="single" w:sz="4" w:space="0" w:color="auto"/>
              <w:bottom w:val="single" w:sz="4" w:space="0" w:color="auto"/>
            </w:tcBorders>
          </w:tcPr>
          <w:p w14:paraId="78A8AB95" w14:textId="58499D26" w:rsidR="0010784A" w:rsidRDefault="00910F7C" w:rsidP="0010784A">
            <w:r w:rsidRPr="00910F7C">
              <w:rPr>
                <w:rFonts w:ascii="Arial" w:hAnsi="Arial" w:cs="Arial"/>
              </w:rPr>
              <w:t>Christine Cooper</w:t>
            </w:r>
            <w:r w:rsidRPr="004920E5">
              <w:rPr>
                <w:rFonts w:ascii="Arial" w:hAnsi="Arial" w:cs="Arial"/>
              </w:rPr>
              <w:t xml:space="preserve"> is Chair in Accounting at the University of Edinburgh Business School. A globally renowned critical accounting scholar, she explores how accounting shapes our daily lives. Formerly at the University of Strathclyde, her work spans public policy, social justice, and corporate accountability. She is Co-Editor-in-Chief of </w:t>
            </w:r>
            <w:r w:rsidRPr="004920E5">
              <w:rPr>
                <w:rFonts w:ascii="Arial" w:hAnsi="Arial" w:cs="Arial"/>
                <w:i/>
                <w:iCs/>
              </w:rPr>
              <w:t>Critical Perspectives on Accounting</w:t>
            </w:r>
            <w:r w:rsidRPr="004920E5">
              <w:rPr>
                <w:rFonts w:ascii="Arial" w:hAnsi="Arial" w:cs="Arial"/>
              </w:rPr>
              <w:t xml:space="preserve"> and a recipient of the BAFA Lifetime Achievement Award. Professor Cooper regularly advises NGOs, contributes to policy, and speaks internationally.</w:t>
            </w:r>
          </w:p>
        </w:tc>
      </w:tr>
    </w:tbl>
    <w:p w14:paraId="4CC5D3FF" w14:textId="77777777" w:rsidR="00910F7C" w:rsidRDefault="00910F7C"/>
    <w:p w14:paraId="54339D53" w14:textId="77777777" w:rsidR="00910F7C" w:rsidRDefault="00910F7C"/>
    <w:tbl>
      <w:tblPr>
        <w:tblStyle w:val="TableGrid"/>
        <w:tblW w:w="0" w:type="auto"/>
        <w:tblBorders>
          <w:insideH w:val="none" w:sz="0" w:space="0" w:color="auto"/>
          <w:insideV w:val="none" w:sz="0" w:space="0" w:color="auto"/>
        </w:tblBorders>
        <w:tblLook w:val="04A0" w:firstRow="1" w:lastRow="0" w:firstColumn="1" w:lastColumn="0" w:noHBand="0" w:noVBand="1"/>
      </w:tblPr>
      <w:tblGrid>
        <w:gridCol w:w="4315"/>
        <w:gridCol w:w="4315"/>
      </w:tblGrid>
      <w:tr w:rsidR="0010784A" w14:paraId="79F49F27" w14:textId="77777777" w:rsidTr="001666A4">
        <w:tc>
          <w:tcPr>
            <w:tcW w:w="4315" w:type="dxa"/>
            <w:tcBorders>
              <w:right w:val="single" w:sz="4" w:space="0" w:color="auto"/>
            </w:tcBorders>
            <w:shd w:val="clear" w:color="auto" w:fill="8DB3E2" w:themeFill="text2" w:themeFillTint="66"/>
          </w:tcPr>
          <w:p w14:paraId="0AD28FB3" w14:textId="3911396F" w:rsidR="0010784A" w:rsidRPr="00910F7C" w:rsidRDefault="00910F7C" w:rsidP="0010784A">
            <w:pPr>
              <w:rPr>
                <w:color w:val="FFFFFF" w:themeColor="background1"/>
              </w:rPr>
            </w:pPr>
            <w:r w:rsidRPr="00910F7C">
              <w:rPr>
                <w:rFonts w:ascii="Arial" w:hAnsi="Arial" w:cs="Arial"/>
                <w:b/>
                <w:bCs/>
                <w:color w:val="FFFFFF" w:themeColor="background1"/>
              </w:rPr>
              <w:lastRenderedPageBreak/>
              <w:t>Laurence Ferry</w:t>
            </w:r>
            <w:r w:rsidRPr="00910F7C">
              <w:rPr>
                <w:rFonts w:ascii="Arial" w:hAnsi="Arial" w:cs="Arial"/>
                <w:color w:val="FFFFFF" w:themeColor="background1"/>
              </w:rPr>
              <w:t xml:space="preserve"> </w:t>
            </w:r>
          </w:p>
        </w:tc>
        <w:tc>
          <w:tcPr>
            <w:tcW w:w="4315" w:type="dxa"/>
            <w:tcBorders>
              <w:top w:val="single" w:sz="4" w:space="0" w:color="auto"/>
              <w:left w:val="single" w:sz="4" w:space="0" w:color="auto"/>
              <w:bottom w:val="nil"/>
            </w:tcBorders>
            <w:shd w:val="clear" w:color="auto" w:fill="8DB3E2" w:themeFill="text2" w:themeFillTint="66"/>
          </w:tcPr>
          <w:p w14:paraId="4ADF7768" w14:textId="7F935E14" w:rsidR="0010784A" w:rsidRPr="00910F7C" w:rsidRDefault="00910F7C" w:rsidP="0010784A">
            <w:pPr>
              <w:rPr>
                <w:color w:val="FFFFFF" w:themeColor="background1"/>
              </w:rPr>
            </w:pPr>
            <w:r w:rsidRPr="00910F7C">
              <w:rPr>
                <w:rFonts w:ascii="Arial" w:hAnsi="Arial" w:cs="Arial"/>
                <w:b/>
                <w:bCs/>
                <w:color w:val="FFFFFF" w:themeColor="background1"/>
              </w:rPr>
              <w:t>Yannis Tsalavoutas</w:t>
            </w:r>
          </w:p>
        </w:tc>
      </w:tr>
      <w:tr w:rsidR="00910F7C" w14:paraId="0FB463E5" w14:textId="77777777" w:rsidTr="001666A4">
        <w:trPr>
          <w:trHeight w:val="3694"/>
        </w:trPr>
        <w:tc>
          <w:tcPr>
            <w:tcW w:w="4315" w:type="dxa"/>
            <w:tcBorders>
              <w:right w:val="single" w:sz="4" w:space="0" w:color="auto"/>
            </w:tcBorders>
          </w:tcPr>
          <w:p w14:paraId="4CC15D3A" w14:textId="3B0DABE8" w:rsidR="00910F7C" w:rsidRDefault="00910F7C" w:rsidP="0010784A">
            <w:r>
              <w:rPr>
                <w:noProof/>
              </w:rPr>
              <w:drawing>
                <wp:anchor distT="0" distB="0" distL="114300" distR="114300" simplePos="0" relativeHeight="251658240" behindDoc="0" locked="0" layoutInCell="1" allowOverlap="1" wp14:anchorId="5CB7E71F" wp14:editId="20D916A7">
                  <wp:simplePos x="0" y="0"/>
                  <wp:positionH relativeFrom="column">
                    <wp:posOffset>412115</wp:posOffset>
                  </wp:positionH>
                  <wp:positionV relativeFrom="paragraph">
                    <wp:posOffset>118110</wp:posOffset>
                  </wp:positionV>
                  <wp:extent cx="1803400" cy="2006600"/>
                  <wp:effectExtent l="0" t="0" r="6350" b="0"/>
                  <wp:wrapTopAndBottom/>
                  <wp:docPr id="587298394" name="Picture 4" descr="We need better ways of assessing value for money' | Local Government  Chronicle (LG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e need better ways of assessing value for money' | Local Government  Chronicle (LGC)"/>
                          <pic:cNvPicPr>
                            <a:picLocks noChangeAspect="1" noChangeArrowheads="1"/>
                          </pic:cNvPicPr>
                        </pic:nvPicPr>
                        <pic:blipFill rotWithShape="1">
                          <a:blip r:embed="rId10">
                            <a:extLst>
                              <a:ext uri="{28A0092B-C50C-407E-A947-70E740481C1C}">
                                <a14:useLocalDpi xmlns:a14="http://schemas.microsoft.com/office/drawing/2010/main" val="0"/>
                              </a:ext>
                            </a:extLst>
                          </a:blip>
                          <a:srcRect l="28053" t="674" r="21899" b="15840"/>
                          <a:stretch/>
                        </pic:blipFill>
                        <pic:spPr bwMode="auto">
                          <a:xfrm>
                            <a:off x="0" y="0"/>
                            <a:ext cx="1803400" cy="2006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315" w:type="dxa"/>
            <w:tcBorders>
              <w:top w:val="nil"/>
              <w:left w:val="single" w:sz="4" w:space="0" w:color="auto"/>
              <w:bottom w:val="nil"/>
            </w:tcBorders>
          </w:tcPr>
          <w:p w14:paraId="3122661E" w14:textId="6D029BAB" w:rsidR="00910F7C" w:rsidRDefault="00910F7C" w:rsidP="001666A4">
            <w:r>
              <w:rPr>
                <w:noProof/>
                <w:lang w:val="en-NZ"/>
              </w:rPr>
              <w:drawing>
                <wp:anchor distT="0" distB="0" distL="114300" distR="114300" simplePos="0" relativeHeight="251664384" behindDoc="0" locked="0" layoutInCell="1" allowOverlap="1" wp14:anchorId="7B73FA6C" wp14:editId="56DD2D52">
                  <wp:simplePos x="0" y="0"/>
                  <wp:positionH relativeFrom="column">
                    <wp:posOffset>354965</wp:posOffset>
                  </wp:positionH>
                  <wp:positionV relativeFrom="paragraph">
                    <wp:posOffset>142240</wp:posOffset>
                  </wp:positionV>
                  <wp:extent cx="1781462" cy="2012950"/>
                  <wp:effectExtent l="0" t="0" r="9525" b="6350"/>
                  <wp:wrapTopAndBottom/>
                  <wp:docPr id="615906593" name="Picture 3" descr="Profile photo of Dr Yannis Tsalavou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file photo of Dr Yannis Tsalavoutas"/>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781462" cy="20129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10F7C" w14:paraId="0DD55D54" w14:textId="77777777" w:rsidTr="001666A4">
        <w:tc>
          <w:tcPr>
            <w:tcW w:w="4315" w:type="dxa"/>
            <w:tcBorders>
              <w:right w:val="single" w:sz="4" w:space="0" w:color="auto"/>
            </w:tcBorders>
          </w:tcPr>
          <w:p w14:paraId="158EAE07" w14:textId="43894A42" w:rsidR="00910F7C" w:rsidRPr="00910F7C" w:rsidRDefault="00910F7C" w:rsidP="0010784A">
            <w:pPr>
              <w:rPr>
                <w:noProof/>
              </w:rPr>
            </w:pPr>
            <w:r w:rsidRPr="00910F7C">
              <w:rPr>
                <w:rFonts w:ascii="Arial" w:hAnsi="Arial" w:cs="Arial"/>
              </w:rPr>
              <w:t xml:space="preserve">Laurence Ferry is an award-winning scholar in Accounting for Democracy at Durham University Business School. He is </w:t>
            </w:r>
            <w:r>
              <w:rPr>
                <w:rFonts w:ascii="Arial" w:hAnsi="Arial" w:cs="Arial"/>
              </w:rPr>
              <w:t xml:space="preserve">the </w:t>
            </w:r>
            <w:r w:rsidRPr="00910F7C">
              <w:rPr>
                <w:rFonts w:ascii="Arial" w:hAnsi="Arial" w:cs="Arial"/>
              </w:rPr>
              <w:t>Founding Director of the International Centre of Public Accountability and a global authority on public financial management. Laurence advises governments and international bodies on audit and accountability, and his research has shaped UK and global policy. A Senior Fellow of the HEA and a Fellow of CIPFA, he also co-directs the Durham Rutgers Accounting Analytics Network.</w:t>
            </w:r>
          </w:p>
        </w:tc>
        <w:tc>
          <w:tcPr>
            <w:tcW w:w="4315" w:type="dxa"/>
            <w:tcBorders>
              <w:top w:val="nil"/>
              <w:left w:val="single" w:sz="4" w:space="0" w:color="auto"/>
              <w:bottom w:val="single" w:sz="4" w:space="0" w:color="auto"/>
            </w:tcBorders>
          </w:tcPr>
          <w:p w14:paraId="54509C57" w14:textId="77777777" w:rsidR="00910F7C" w:rsidRDefault="00910F7C" w:rsidP="0010784A">
            <w:pPr>
              <w:rPr>
                <w:rFonts w:ascii="Arial" w:hAnsi="Arial" w:cs="Arial"/>
              </w:rPr>
            </w:pPr>
            <w:r w:rsidRPr="00910F7C">
              <w:rPr>
                <w:rFonts w:ascii="Arial" w:hAnsi="Arial" w:cs="Arial"/>
              </w:rPr>
              <w:t xml:space="preserve">Yannis Tsalavoutas is Professor of Accounting and Finance at the University of Glasgow’s Adam Smith Business School. His research focuses on IFRS-based financial reporting and disclosure, with publications in </w:t>
            </w:r>
            <w:r w:rsidRPr="00910F7C">
              <w:rPr>
                <w:rFonts w:ascii="Arial" w:hAnsi="Arial" w:cs="Arial"/>
                <w:i/>
                <w:iCs/>
              </w:rPr>
              <w:t>The British Accounting Review</w:t>
            </w:r>
            <w:r w:rsidRPr="00910F7C">
              <w:rPr>
                <w:rFonts w:ascii="Arial" w:hAnsi="Arial" w:cs="Arial"/>
              </w:rPr>
              <w:t xml:space="preserve">, </w:t>
            </w:r>
            <w:r w:rsidRPr="00910F7C">
              <w:rPr>
                <w:rFonts w:ascii="Arial" w:hAnsi="Arial" w:cs="Arial"/>
                <w:i/>
                <w:iCs/>
              </w:rPr>
              <w:t>Journal of Accounting and Public Policy</w:t>
            </w:r>
            <w:r w:rsidRPr="00910F7C">
              <w:rPr>
                <w:rFonts w:ascii="Arial" w:hAnsi="Arial" w:cs="Arial"/>
              </w:rPr>
              <w:t xml:space="preserve">, </w:t>
            </w:r>
            <w:r w:rsidRPr="00910F7C">
              <w:rPr>
                <w:rFonts w:ascii="Arial" w:hAnsi="Arial" w:cs="Arial"/>
                <w:i/>
                <w:iCs/>
              </w:rPr>
              <w:t>Accounting and Business Research</w:t>
            </w:r>
            <w:r w:rsidRPr="00910F7C">
              <w:rPr>
                <w:rFonts w:ascii="Arial" w:hAnsi="Arial" w:cs="Arial"/>
              </w:rPr>
              <w:t xml:space="preserve">, and </w:t>
            </w:r>
            <w:r w:rsidRPr="00910F7C">
              <w:rPr>
                <w:rFonts w:ascii="Arial" w:hAnsi="Arial" w:cs="Arial"/>
                <w:i/>
                <w:iCs/>
              </w:rPr>
              <w:t>Journal of Business Finance &amp; Accounting</w:t>
            </w:r>
            <w:r w:rsidRPr="00910F7C">
              <w:rPr>
                <w:rFonts w:ascii="Arial" w:hAnsi="Arial" w:cs="Arial"/>
              </w:rPr>
              <w:t>. He founded the Adam Smith Observatory of Corporate Reporting Practices and serves on editorial boards and advisory panels, including for ACCA, ICAS, and UKEB</w:t>
            </w:r>
          </w:p>
          <w:p w14:paraId="1DB6EE01" w14:textId="42DD9EBB" w:rsidR="001666A4" w:rsidRPr="00910F7C" w:rsidRDefault="001666A4" w:rsidP="0010784A">
            <w:pPr>
              <w:rPr>
                <w:noProof/>
                <w:lang w:val="en-NZ"/>
              </w:rPr>
            </w:pPr>
          </w:p>
        </w:tc>
      </w:tr>
    </w:tbl>
    <w:p w14:paraId="3A9C50BC" w14:textId="027BD4D4" w:rsidR="0010784A" w:rsidRPr="0010784A" w:rsidRDefault="0010784A" w:rsidP="0010784A"/>
    <w:p w14:paraId="5BC5A266" w14:textId="526803C9" w:rsidR="00961B15" w:rsidRDefault="00961B15" w:rsidP="00545CA8">
      <w:pPr>
        <w:pStyle w:val="Heading2"/>
        <w:spacing w:before="0" w:line="360" w:lineRule="auto"/>
        <w:rPr>
          <w:rFonts w:ascii="Arial" w:hAnsi="Arial" w:cs="Arial"/>
          <w:color w:val="0070C0"/>
        </w:rPr>
      </w:pPr>
      <w:r>
        <w:rPr>
          <w:rFonts w:ascii="Arial" w:hAnsi="Arial" w:cs="Arial"/>
          <w:color w:val="0070C0"/>
        </w:rPr>
        <w:t>About the journal</w:t>
      </w:r>
    </w:p>
    <w:p w14:paraId="08ECB42D" w14:textId="0A9F3756" w:rsidR="00961B15" w:rsidRPr="00D14772" w:rsidRDefault="00D14772" w:rsidP="00D14772">
      <w:pPr>
        <w:spacing w:line="360" w:lineRule="auto"/>
        <w:jc w:val="both"/>
        <w:rPr>
          <w:rFonts w:ascii="Arial" w:hAnsi="Arial" w:cs="Arial"/>
        </w:rPr>
      </w:pPr>
      <w:r w:rsidRPr="00A605A0">
        <w:rPr>
          <w:rFonts w:ascii="Arial" w:hAnsi="Arial" w:cs="Arial"/>
          <w:i/>
          <w:iCs/>
        </w:rPr>
        <w:t>Meditari Accountancy Research</w:t>
      </w:r>
      <w:r w:rsidRPr="00A605A0">
        <w:rPr>
          <w:rFonts w:ascii="Arial" w:hAnsi="Arial" w:cs="Arial"/>
        </w:rPr>
        <w:t xml:space="preserve"> is a leading journal committed to publishing rigorous and insightful research that explores the role of accounting in society. With a growing international readership and an increasing impact in citation rankings</w:t>
      </w:r>
      <w:r w:rsidR="008263B5">
        <w:rPr>
          <w:rFonts w:ascii="Arial" w:hAnsi="Arial" w:cs="Arial"/>
        </w:rPr>
        <w:t xml:space="preserve"> (</w:t>
      </w:r>
      <w:r w:rsidR="002B076C">
        <w:rPr>
          <w:rFonts w:ascii="Arial" w:hAnsi="Arial" w:cs="Arial"/>
        </w:rPr>
        <w:t>5th-ranked</w:t>
      </w:r>
      <w:r w:rsidR="008263B5">
        <w:rPr>
          <w:rFonts w:ascii="Arial" w:hAnsi="Arial" w:cs="Arial"/>
        </w:rPr>
        <w:t xml:space="preserve"> Accounting &amp; Taxation journal in the 2025 Google Scholar metrics</w:t>
      </w:r>
      <w:r w:rsidR="006012CC">
        <w:rPr>
          <w:rFonts w:ascii="Arial" w:hAnsi="Arial" w:cs="Arial"/>
        </w:rPr>
        <w:t xml:space="preserve"> with </w:t>
      </w:r>
      <w:r w:rsidR="00012866">
        <w:rPr>
          <w:rFonts w:ascii="Arial" w:hAnsi="Arial" w:cs="Arial"/>
        </w:rPr>
        <w:t xml:space="preserve">a </w:t>
      </w:r>
      <w:r w:rsidR="006012CC">
        <w:rPr>
          <w:rFonts w:ascii="Arial" w:hAnsi="Arial" w:cs="Arial"/>
        </w:rPr>
        <w:t>59 h5</w:t>
      </w:r>
      <w:r w:rsidR="00012866">
        <w:rPr>
          <w:rFonts w:ascii="Arial" w:hAnsi="Arial" w:cs="Arial"/>
        </w:rPr>
        <w:t>-</w:t>
      </w:r>
      <w:r w:rsidR="006012CC">
        <w:rPr>
          <w:rFonts w:ascii="Arial" w:hAnsi="Arial" w:cs="Arial"/>
        </w:rPr>
        <w:t>index)</w:t>
      </w:r>
      <w:r w:rsidRPr="00A605A0">
        <w:rPr>
          <w:rFonts w:ascii="Arial" w:hAnsi="Arial" w:cs="Arial"/>
        </w:rPr>
        <w:t>, the journal has become a prominent voice for innovative work in accounting. Meditari continues to champion research that is critical, policy-relevant, and engaged with global scholarly and practitioner communities. The journal is proud to support this conference as a platform for debate and development in the field.</w:t>
      </w:r>
    </w:p>
    <w:p w14:paraId="1AE2D93F" w14:textId="7DE881B9" w:rsidR="00DE2FB6" w:rsidRPr="00CE5461" w:rsidRDefault="004759A9" w:rsidP="00545CA8">
      <w:pPr>
        <w:pStyle w:val="Heading2"/>
        <w:spacing w:before="0" w:line="360" w:lineRule="auto"/>
        <w:rPr>
          <w:rFonts w:ascii="Arial" w:hAnsi="Arial" w:cs="Arial"/>
          <w:color w:val="0070C0"/>
        </w:rPr>
      </w:pPr>
      <w:r w:rsidRPr="00CE5461">
        <w:rPr>
          <w:rFonts w:ascii="Arial" w:hAnsi="Arial" w:cs="Arial"/>
          <w:color w:val="0070C0"/>
        </w:rPr>
        <w:t>Key Dates</w:t>
      </w:r>
    </w:p>
    <w:p w14:paraId="3878FA56" w14:textId="53CF90F0" w:rsidR="00DE2FB6" w:rsidRPr="00A222DC" w:rsidRDefault="004759A9" w:rsidP="00A222DC">
      <w:pPr>
        <w:spacing w:line="360" w:lineRule="auto"/>
        <w:rPr>
          <w:rFonts w:ascii="Arial" w:eastAsiaTheme="majorEastAsia" w:hAnsi="Arial" w:cs="Arial"/>
          <w:b/>
          <w:bCs/>
          <w:color w:val="0070C0"/>
          <w:sz w:val="26"/>
          <w:szCs w:val="26"/>
        </w:rPr>
      </w:pPr>
      <w:r w:rsidRPr="00CE5461">
        <w:rPr>
          <w:rFonts w:ascii="Arial" w:hAnsi="Arial" w:cs="Arial"/>
        </w:rPr>
        <w:t>- 1 June 2026 – Submission Deadline for Full Papers</w:t>
      </w:r>
      <w:r w:rsidRPr="00CE5461">
        <w:rPr>
          <w:rFonts w:ascii="Arial" w:hAnsi="Arial" w:cs="Arial"/>
        </w:rPr>
        <w:br/>
        <w:t>- 20 June 2026 – Notification of Acceptance</w:t>
      </w:r>
      <w:r w:rsidRPr="00CE5461">
        <w:rPr>
          <w:rFonts w:ascii="Arial" w:hAnsi="Arial" w:cs="Arial"/>
        </w:rPr>
        <w:br/>
        <w:t>- 31 July 2026 – Early-Bird Registration Closes</w:t>
      </w:r>
      <w:r w:rsidRPr="00CE5461">
        <w:rPr>
          <w:rFonts w:ascii="Arial" w:hAnsi="Arial" w:cs="Arial"/>
        </w:rPr>
        <w:br/>
      </w:r>
      <w:r w:rsidRPr="00CE5461">
        <w:rPr>
          <w:rFonts w:ascii="Arial" w:hAnsi="Arial" w:cs="Arial"/>
        </w:rPr>
        <w:br/>
      </w:r>
      <w:bookmarkStart w:id="0" w:name="_Hlk211603327"/>
      <w:r w:rsidRPr="00A222DC">
        <w:rPr>
          <w:rFonts w:ascii="Arial" w:eastAsiaTheme="majorEastAsia" w:hAnsi="Arial" w:cs="Arial"/>
          <w:b/>
          <w:bCs/>
          <w:color w:val="0070C0"/>
          <w:sz w:val="26"/>
          <w:szCs w:val="26"/>
        </w:rPr>
        <w:t>Submission Process</w:t>
      </w:r>
    </w:p>
    <w:bookmarkEnd w:id="0"/>
    <w:p w14:paraId="484F022A" w14:textId="0780CAA9" w:rsidR="007E4A7A" w:rsidRDefault="004759A9" w:rsidP="00BE2C98">
      <w:pPr>
        <w:spacing w:after="160" w:line="278" w:lineRule="auto"/>
        <w:jc w:val="both"/>
        <w:rPr>
          <w:rFonts w:ascii="Arial" w:hAnsi="Arial" w:cs="Arial"/>
          <w:lang w:val="en-ZA"/>
        </w:rPr>
      </w:pPr>
      <w:r w:rsidRPr="00CE5461">
        <w:rPr>
          <w:rFonts w:ascii="Arial" w:hAnsi="Arial" w:cs="Arial"/>
        </w:rPr>
        <w:t>Full papers should be submitted via the conference portal</w:t>
      </w:r>
      <w:r w:rsidR="000F3039">
        <w:rPr>
          <w:rFonts w:ascii="Arial" w:hAnsi="Arial" w:cs="Arial"/>
        </w:rPr>
        <w:t xml:space="preserve"> </w:t>
      </w:r>
      <w:r w:rsidR="007E4A7A" w:rsidRPr="007F21DC">
        <w:rPr>
          <w:rFonts w:ascii="Arial" w:hAnsi="Arial" w:cs="Arial"/>
          <w:lang w:val="en-ZA"/>
        </w:rPr>
        <w:t xml:space="preserve">here: </w:t>
      </w:r>
      <w:hyperlink r:id="rId13" w:history="1">
        <w:r w:rsidR="00B930BD" w:rsidRPr="00906463">
          <w:rPr>
            <w:rStyle w:val="Hyperlink"/>
            <w:rFonts w:ascii="Arial" w:hAnsi="Arial" w:cs="Arial"/>
            <w:lang w:val="en-ZA"/>
          </w:rPr>
          <w:t>https://accppp.co.uk/submission-form/</w:t>
        </w:r>
      </w:hyperlink>
      <w:r w:rsidR="00B930BD">
        <w:rPr>
          <w:rFonts w:ascii="Arial" w:hAnsi="Arial" w:cs="Arial"/>
          <w:lang w:val="en-ZA"/>
        </w:rPr>
        <w:t xml:space="preserve"> </w:t>
      </w:r>
    </w:p>
    <w:p w14:paraId="1428972D" w14:textId="1F8AEF07" w:rsidR="00DE2FB6" w:rsidRDefault="004759A9" w:rsidP="00545CA8">
      <w:pPr>
        <w:spacing w:line="360" w:lineRule="auto"/>
        <w:rPr>
          <w:rFonts w:ascii="Arial" w:hAnsi="Arial" w:cs="Arial"/>
          <w:i/>
          <w:iCs/>
        </w:rPr>
      </w:pPr>
      <w:r w:rsidRPr="00CE5461">
        <w:rPr>
          <w:rFonts w:ascii="Arial" w:hAnsi="Arial" w:cs="Arial"/>
        </w:rPr>
        <w:t>All submissions will undergo a double-blind peer review process.</w:t>
      </w:r>
      <w:r w:rsidRPr="00CE5461">
        <w:rPr>
          <w:rFonts w:ascii="Arial" w:hAnsi="Arial" w:cs="Arial"/>
        </w:rPr>
        <w:br/>
        <w:t xml:space="preserve">Selected papers may be invited for submission to </w:t>
      </w:r>
      <w:r w:rsidRPr="00CE5461">
        <w:rPr>
          <w:rFonts w:ascii="Arial" w:hAnsi="Arial" w:cs="Arial"/>
          <w:i/>
          <w:iCs/>
        </w:rPr>
        <w:t>Meditari Accountancy Research.</w:t>
      </w:r>
    </w:p>
    <w:p w14:paraId="29E664C8" w14:textId="0523B481" w:rsidR="003C46C4" w:rsidRPr="00CE5461" w:rsidRDefault="003C46C4" w:rsidP="003C46C4">
      <w:pPr>
        <w:pStyle w:val="Heading2"/>
        <w:spacing w:before="0" w:line="360" w:lineRule="auto"/>
        <w:rPr>
          <w:rFonts w:ascii="Arial" w:hAnsi="Arial" w:cs="Arial"/>
          <w:color w:val="0070C0"/>
        </w:rPr>
      </w:pPr>
      <w:r>
        <w:rPr>
          <w:rFonts w:ascii="Arial" w:hAnsi="Arial" w:cs="Arial"/>
          <w:color w:val="0070C0"/>
        </w:rPr>
        <w:t>Conference fee</w:t>
      </w:r>
    </w:p>
    <w:p w14:paraId="1D4BF1FC" w14:textId="0FA08734" w:rsidR="003C46C4" w:rsidRDefault="00392887" w:rsidP="00545CA8">
      <w:pPr>
        <w:spacing w:line="360" w:lineRule="auto"/>
        <w:rPr>
          <w:rFonts w:ascii="Arial" w:hAnsi="Arial" w:cs="Arial"/>
        </w:rPr>
      </w:pPr>
      <w:r w:rsidRPr="00392887">
        <w:rPr>
          <w:rFonts w:ascii="Arial" w:hAnsi="Arial" w:cs="Arial"/>
        </w:rPr>
        <w:t>Delegate registration fees for the Meditari Accountancy Research Conference, hosted by the University of Leeds on 3–4 September 2026, cover all catering costs, including refreshments, lunch, and dinner on both days.</w:t>
      </w:r>
      <w:r>
        <w:rPr>
          <w:rFonts w:ascii="Arial" w:hAnsi="Arial" w:cs="Arial"/>
        </w:rPr>
        <w:t xml:space="preserve"> </w:t>
      </w:r>
      <w:r w:rsidR="00B437EF">
        <w:rPr>
          <w:rFonts w:ascii="Arial" w:hAnsi="Arial" w:cs="Arial"/>
        </w:rPr>
        <w:t>Click here t</w:t>
      </w:r>
      <w:r w:rsidR="00124FAC">
        <w:rPr>
          <w:rFonts w:ascii="Arial" w:hAnsi="Arial" w:cs="Arial"/>
        </w:rPr>
        <w:t xml:space="preserve">o reserve </w:t>
      </w:r>
      <w:r>
        <w:rPr>
          <w:rFonts w:ascii="Arial" w:hAnsi="Arial" w:cs="Arial"/>
        </w:rPr>
        <w:t xml:space="preserve">your </w:t>
      </w:r>
      <w:r w:rsidR="00124FAC">
        <w:rPr>
          <w:rFonts w:ascii="Arial" w:hAnsi="Arial" w:cs="Arial"/>
        </w:rPr>
        <w:t>place</w:t>
      </w:r>
      <w:r>
        <w:rPr>
          <w:rFonts w:ascii="Arial" w:hAnsi="Arial" w:cs="Arial"/>
        </w:rPr>
        <w:t xml:space="preserve"> and pay the fee</w:t>
      </w:r>
      <w:r w:rsidR="00B437EF">
        <w:rPr>
          <w:rFonts w:ascii="Arial" w:hAnsi="Arial" w:cs="Arial"/>
        </w:rPr>
        <w:t xml:space="preserve"> of £318</w:t>
      </w:r>
      <w:r w:rsidR="00124FAC">
        <w:rPr>
          <w:rFonts w:ascii="Arial" w:hAnsi="Arial" w:cs="Arial"/>
        </w:rPr>
        <w:t>:</w:t>
      </w:r>
    </w:p>
    <w:p w14:paraId="0C030C83" w14:textId="728F5455" w:rsidR="00697A24" w:rsidRPr="00CE5461" w:rsidRDefault="003C46C4" w:rsidP="00545CA8">
      <w:pPr>
        <w:spacing w:line="360" w:lineRule="auto"/>
        <w:rPr>
          <w:rFonts w:ascii="Arial" w:hAnsi="Arial" w:cs="Arial"/>
          <w:i/>
          <w:iCs/>
        </w:rPr>
      </w:pPr>
      <w:hyperlink r:id="rId14" w:history="1">
        <w:r w:rsidRPr="00FD4420">
          <w:rPr>
            <w:rStyle w:val="Hyperlink"/>
            <w:rFonts w:ascii="Arial" w:hAnsi="Arial" w:cs="Arial"/>
            <w:i/>
            <w:iCs/>
          </w:rPr>
          <w:t>https://store.leeds.ac.uk/conferences-and-events/leeds-university-business-school/accounting-and-finance/meditari-2026-conference</w:t>
        </w:r>
      </w:hyperlink>
      <w:r w:rsidR="00697A24">
        <w:rPr>
          <w:rFonts w:ascii="Arial" w:hAnsi="Arial" w:cs="Arial"/>
          <w:i/>
          <w:iCs/>
        </w:rPr>
        <w:t xml:space="preserve"> </w:t>
      </w:r>
    </w:p>
    <w:p w14:paraId="743C5C55" w14:textId="4FF66636" w:rsidR="00DE2FB6" w:rsidRPr="0043213C" w:rsidRDefault="004759A9" w:rsidP="00545CA8">
      <w:pPr>
        <w:pStyle w:val="Heading2"/>
        <w:spacing w:before="0" w:line="360" w:lineRule="auto"/>
        <w:rPr>
          <w:rFonts w:ascii="Arial" w:hAnsi="Arial" w:cs="Arial"/>
          <w:color w:val="0070C0"/>
        </w:rPr>
      </w:pPr>
      <w:r w:rsidRPr="0043213C">
        <w:rPr>
          <w:rFonts w:ascii="Arial" w:hAnsi="Arial" w:cs="Arial"/>
          <w:color w:val="0070C0"/>
        </w:rPr>
        <w:t>Venue</w:t>
      </w:r>
    </w:p>
    <w:p w14:paraId="3D44882F" w14:textId="3AF56822" w:rsidR="000225D9" w:rsidRPr="000225D9" w:rsidRDefault="000225D9" w:rsidP="004515D2">
      <w:pPr>
        <w:spacing w:line="360" w:lineRule="auto"/>
        <w:jc w:val="both"/>
        <w:rPr>
          <w:rFonts w:ascii="Arial" w:hAnsi="Arial" w:cs="Arial"/>
        </w:rPr>
      </w:pPr>
      <w:r w:rsidRPr="0043213C">
        <w:rPr>
          <w:rFonts w:ascii="Arial" w:hAnsi="Arial" w:cs="Arial"/>
        </w:rPr>
        <w:t xml:space="preserve">The </w:t>
      </w:r>
      <w:r w:rsidRPr="0043213C">
        <w:rPr>
          <w:rFonts w:ascii="Arial" w:hAnsi="Arial" w:cs="Arial"/>
          <w:i/>
          <w:iCs/>
        </w:rPr>
        <w:t>Meditari Accountancy Research</w:t>
      </w:r>
      <w:r w:rsidRPr="0043213C">
        <w:rPr>
          <w:rFonts w:ascii="Arial" w:hAnsi="Arial" w:cs="Arial"/>
        </w:rPr>
        <w:t xml:space="preserve"> </w:t>
      </w:r>
      <w:r w:rsidRPr="000225D9">
        <w:rPr>
          <w:rFonts w:ascii="Arial" w:hAnsi="Arial" w:cs="Arial"/>
        </w:rPr>
        <w:t xml:space="preserve">Conference 2026 will be held on the </w:t>
      </w:r>
      <w:r w:rsidR="0043213C">
        <w:rPr>
          <w:rFonts w:ascii="Arial" w:hAnsi="Arial" w:cs="Arial"/>
        </w:rPr>
        <w:t>University of Leeds campus. Most sessions will take place in</w:t>
      </w:r>
      <w:r w:rsidRPr="000225D9">
        <w:rPr>
          <w:rFonts w:ascii="Arial" w:hAnsi="Arial" w:cs="Arial"/>
        </w:rPr>
        <w:t xml:space="preserve"> the </w:t>
      </w:r>
      <w:r w:rsidR="006F0597">
        <w:rPr>
          <w:rFonts w:ascii="Arial" w:hAnsi="Arial" w:cs="Arial"/>
        </w:rPr>
        <w:t xml:space="preserve">Leeds University Business School’s </w:t>
      </w:r>
      <w:r w:rsidR="00577A9A">
        <w:rPr>
          <w:rFonts w:ascii="Arial" w:hAnsi="Arial" w:cs="Arial"/>
        </w:rPr>
        <w:t>Maurice Keyworth Building</w:t>
      </w:r>
      <w:r w:rsidR="006F0597">
        <w:rPr>
          <w:rFonts w:ascii="Arial" w:hAnsi="Arial" w:cs="Arial"/>
        </w:rPr>
        <w:t>,</w:t>
      </w:r>
      <w:r w:rsidR="00577A9A">
        <w:rPr>
          <w:rFonts w:ascii="Arial" w:hAnsi="Arial" w:cs="Arial"/>
        </w:rPr>
        <w:t xml:space="preserve"> </w:t>
      </w:r>
      <w:r w:rsidRPr="000225D9">
        <w:rPr>
          <w:rFonts w:ascii="Arial" w:hAnsi="Arial" w:cs="Arial"/>
        </w:rPr>
        <w:t xml:space="preserve">located on </w:t>
      </w:r>
      <w:r w:rsidR="007924CF">
        <w:rPr>
          <w:rFonts w:ascii="Arial" w:hAnsi="Arial" w:cs="Arial"/>
        </w:rPr>
        <w:t>Moorland Road</w:t>
      </w:r>
      <w:r w:rsidRPr="000225D9">
        <w:rPr>
          <w:rFonts w:ascii="Arial" w:hAnsi="Arial" w:cs="Arial"/>
        </w:rPr>
        <w:t xml:space="preserve">, Leeds </w:t>
      </w:r>
      <w:r w:rsidR="0043213C">
        <w:rPr>
          <w:rFonts w:ascii="Arial" w:hAnsi="Arial" w:cs="Arial"/>
        </w:rPr>
        <w:t>LS6 1AN</w:t>
      </w:r>
      <w:r w:rsidRPr="000225D9">
        <w:rPr>
          <w:rFonts w:ascii="Arial" w:hAnsi="Arial" w:cs="Arial"/>
        </w:rPr>
        <w:t>.</w:t>
      </w:r>
    </w:p>
    <w:p w14:paraId="65E6CA15" w14:textId="34AF1EFC" w:rsidR="00E80286" w:rsidRPr="00CE5461" w:rsidRDefault="004515D2" w:rsidP="004515D2">
      <w:pPr>
        <w:spacing w:line="360" w:lineRule="auto"/>
        <w:jc w:val="both"/>
        <w:rPr>
          <w:rFonts w:ascii="Arial" w:hAnsi="Arial" w:cs="Arial"/>
        </w:rPr>
      </w:pPr>
      <w:r w:rsidRPr="00CE5461">
        <w:rPr>
          <w:rFonts w:ascii="Arial" w:hAnsi="Arial" w:cs="Arial"/>
        </w:rPr>
        <w:t>Leeds is an accessible and attractive destination for both international and UK-based delegates attending the Meditari Accountancy Research Conference 2026. International visitors can arrive via Leeds Bradford Airport, just a short journey from the city centre, or through Manchester Airport, which offers extensive global connections and direct rail links to Leeds. For UK travellers, the city boasts excellent rail services with fast, frequent connections to London, Edinburgh, and other major cities. Once here, visitors can explore Leeds’ rich cultural and historical offerings, including the world-class Royal Armouries Museum, the medieval ruins of Kirkstall Abbey, and the acclaimed Leeds Grand Theatre. Beyond the city, the stunning landscapes of the Yorkshire Dales are easily reached, offering opportunities for scenic walks and cultural visits, including a trip to Haworth—the historic home of the Brontë sisters. Leeds combines convenience with heritage, making it a fitting setting for scholarly exchange and exploration.</w:t>
      </w:r>
    </w:p>
    <w:p w14:paraId="394144FC" w14:textId="6DE7EA31" w:rsidR="00DE2FB6" w:rsidRPr="00CE5461" w:rsidRDefault="004759A9" w:rsidP="004515D2">
      <w:pPr>
        <w:spacing w:line="360" w:lineRule="auto"/>
        <w:jc w:val="both"/>
        <w:rPr>
          <w:rFonts w:ascii="Arial" w:eastAsiaTheme="majorEastAsia" w:hAnsi="Arial" w:cs="Arial"/>
          <w:b/>
          <w:bCs/>
          <w:color w:val="0070C0"/>
          <w:sz w:val="26"/>
          <w:szCs w:val="26"/>
        </w:rPr>
      </w:pPr>
      <w:r w:rsidRPr="00CE5461">
        <w:rPr>
          <w:rFonts w:ascii="Arial" w:eastAsiaTheme="majorEastAsia" w:hAnsi="Arial" w:cs="Arial"/>
          <w:b/>
          <w:bCs/>
          <w:color w:val="0070C0"/>
          <w:sz w:val="26"/>
          <w:szCs w:val="26"/>
        </w:rPr>
        <w:t>Contact</w:t>
      </w:r>
    </w:p>
    <w:p w14:paraId="18004D91" w14:textId="6799B6A6" w:rsidR="00DE2FB6" w:rsidRPr="00CE5461" w:rsidRDefault="004759A9" w:rsidP="00545CA8">
      <w:pPr>
        <w:spacing w:line="360" w:lineRule="auto"/>
        <w:rPr>
          <w:rFonts w:ascii="Arial" w:hAnsi="Arial" w:cs="Arial"/>
        </w:rPr>
      </w:pPr>
      <w:r w:rsidRPr="00CE5461">
        <w:rPr>
          <w:rFonts w:ascii="Arial" w:hAnsi="Arial" w:cs="Arial"/>
        </w:rPr>
        <w:t xml:space="preserve">For enquiries, </w:t>
      </w:r>
      <w:r w:rsidR="000B408D">
        <w:rPr>
          <w:rFonts w:ascii="Arial" w:hAnsi="Arial" w:cs="Arial"/>
        </w:rPr>
        <w:t>please get in touch with the organising committee</w:t>
      </w:r>
      <w:r w:rsidRPr="00CE5461">
        <w:rPr>
          <w:rFonts w:ascii="Arial" w:hAnsi="Arial" w:cs="Arial"/>
        </w:rPr>
        <w:t xml:space="preserve"> at</w:t>
      </w:r>
      <w:r w:rsidR="000B408D">
        <w:rPr>
          <w:rFonts w:ascii="Arial" w:hAnsi="Arial" w:cs="Arial"/>
        </w:rPr>
        <w:t xml:space="preserve"> </w:t>
      </w:r>
      <w:hyperlink r:id="rId15" w:history="1">
        <w:r w:rsidR="000B408D" w:rsidRPr="00906463">
          <w:rPr>
            <w:rStyle w:val="Hyperlink"/>
            <w:rFonts w:ascii="Arial" w:hAnsi="Arial" w:cs="Arial"/>
          </w:rPr>
          <w:t>accfinenquiry@lubs.leeds.ac.uk</w:t>
        </w:r>
      </w:hyperlink>
      <w:r w:rsidR="000B408D">
        <w:rPr>
          <w:rFonts w:ascii="Arial" w:hAnsi="Arial" w:cs="Arial"/>
        </w:rPr>
        <w:t xml:space="preserve"> </w:t>
      </w:r>
      <w:r w:rsidR="0036713F">
        <w:rPr>
          <w:rFonts w:ascii="Arial" w:hAnsi="Arial" w:cs="Arial"/>
        </w:rPr>
        <w:t>using the subject “</w:t>
      </w:r>
      <w:r w:rsidR="0036713F" w:rsidRPr="0036713F">
        <w:rPr>
          <w:rFonts w:ascii="Arial" w:hAnsi="Arial" w:cs="Arial"/>
          <w:b/>
          <w:bCs/>
        </w:rPr>
        <w:t>Meditari Conference 2026</w:t>
      </w:r>
      <w:r w:rsidR="0036713F">
        <w:rPr>
          <w:rFonts w:ascii="Arial" w:hAnsi="Arial" w:cs="Arial"/>
        </w:rPr>
        <w:t>”</w:t>
      </w:r>
      <w:r w:rsidRPr="00CE5461">
        <w:rPr>
          <w:rFonts w:ascii="Arial" w:hAnsi="Arial" w:cs="Arial"/>
        </w:rPr>
        <w:br/>
      </w:r>
    </w:p>
    <w:sectPr w:rsidR="00DE2FB6" w:rsidRPr="00CE546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9E07B11"/>
    <w:multiLevelType w:val="multilevel"/>
    <w:tmpl w:val="30B29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B7402C"/>
    <w:multiLevelType w:val="hybridMultilevel"/>
    <w:tmpl w:val="A6C0A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811EC0"/>
    <w:multiLevelType w:val="hybridMultilevel"/>
    <w:tmpl w:val="D3144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81463330">
    <w:abstractNumId w:val="8"/>
  </w:num>
  <w:num w:numId="2" w16cid:durableId="614405152">
    <w:abstractNumId w:val="6"/>
  </w:num>
  <w:num w:numId="3" w16cid:durableId="43650765">
    <w:abstractNumId w:val="5"/>
  </w:num>
  <w:num w:numId="4" w16cid:durableId="648247354">
    <w:abstractNumId w:val="4"/>
  </w:num>
  <w:num w:numId="5" w16cid:durableId="1898128625">
    <w:abstractNumId w:val="7"/>
  </w:num>
  <w:num w:numId="6" w16cid:durableId="1572035117">
    <w:abstractNumId w:val="3"/>
  </w:num>
  <w:num w:numId="7" w16cid:durableId="1389720259">
    <w:abstractNumId w:val="2"/>
  </w:num>
  <w:num w:numId="8" w16cid:durableId="985626439">
    <w:abstractNumId w:val="1"/>
  </w:num>
  <w:num w:numId="9" w16cid:durableId="1182400670">
    <w:abstractNumId w:val="0"/>
  </w:num>
  <w:num w:numId="10" w16cid:durableId="668024497">
    <w:abstractNumId w:val="11"/>
  </w:num>
  <w:num w:numId="11" w16cid:durableId="591473477">
    <w:abstractNumId w:val="10"/>
  </w:num>
  <w:num w:numId="12" w16cid:durableId="9394071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2866"/>
    <w:rsid w:val="00014973"/>
    <w:rsid w:val="000225D9"/>
    <w:rsid w:val="00034616"/>
    <w:rsid w:val="00034FF6"/>
    <w:rsid w:val="0005514C"/>
    <w:rsid w:val="0006063C"/>
    <w:rsid w:val="0008629F"/>
    <w:rsid w:val="000B408D"/>
    <w:rsid w:val="000D1594"/>
    <w:rsid w:val="000F07DF"/>
    <w:rsid w:val="000F3039"/>
    <w:rsid w:val="0010784A"/>
    <w:rsid w:val="00124FAC"/>
    <w:rsid w:val="0015074B"/>
    <w:rsid w:val="00153D85"/>
    <w:rsid w:val="001666A4"/>
    <w:rsid w:val="00263091"/>
    <w:rsid w:val="0029639D"/>
    <w:rsid w:val="002A67AE"/>
    <w:rsid w:val="002B076C"/>
    <w:rsid w:val="00307621"/>
    <w:rsid w:val="0032407D"/>
    <w:rsid w:val="00326F90"/>
    <w:rsid w:val="00357B94"/>
    <w:rsid w:val="0036713F"/>
    <w:rsid w:val="00384105"/>
    <w:rsid w:val="003848FE"/>
    <w:rsid w:val="00390150"/>
    <w:rsid w:val="00392887"/>
    <w:rsid w:val="003C46C4"/>
    <w:rsid w:val="003F3609"/>
    <w:rsid w:val="003F4273"/>
    <w:rsid w:val="00402B6E"/>
    <w:rsid w:val="0043213C"/>
    <w:rsid w:val="00443146"/>
    <w:rsid w:val="004515D2"/>
    <w:rsid w:val="004759A9"/>
    <w:rsid w:val="00483A78"/>
    <w:rsid w:val="004920E5"/>
    <w:rsid w:val="004C113B"/>
    <w:rsid w:val="004D1296"/>
    <w:rsid w:val="004E7580"/>
    <w:rsid w:val="004F5AA7"/>
    <w:rsid w:val="00545CA8"/>
    <w:rsid w:val="005773DE"/>
    <w:rsid w:val="00577A9A"/>
    <w:rsid w:val="00593781"/>
    <w:rsid w:val="005A1E99"/>
    <w:rsid w:val="005B5546"/>
    <w:rsid w:val="005B7B75"/>
    <w:rsid w:val="005D4F37"/>
    <w:rsid w:val="005F7DEC"/>
    <w:rsid w:val="006012CC"/>
    <w:rsid w:val="0066283F"/>
    <w:rsid w:val="006679E3"/>
    <w:rsid w:val="00697A24"/>
    <w:rsid w:val="006D056A"/>
    <w:rsid w:val="006F0597"/>
    <w:rsid w:val="00710CEA"/>
    <w:rsid w:val="007213EE"/>
    <w:rsid w:val="007769FD"/>
    <w:rsid w:val="007924CF"/>
    <w:rsid w:val="007E4A7A"/>
    <w:rsid w:val="008263B5"/>
    <w:rsid w:val="008A79AC"/>
    <w:rsid w:val="008F7513"/>
    <w:rsid w:val="00910F7C"/>
    <w:rsid w:val="00941F9D"/>
    <w:rsid w:val="00961B15"/>
    <w:rsid w:val="00A222DC"/>
    <w:rsid w:val="00A40DEC"/>
    <w:rsid w:val="00A605A0"/>
    <w:rsid w:val="00AA1D8D"/>
    <w:rsid w:val="00AB4D34"/>
    <w:rsid w:val="00B0437A"/>
    <w:rsid w:val="00B17291"/>
    <w:rsid w:val="00B437EF"/>
    <w:rsid w:val="00B458C4"/>
    <w:rsid w:val="00B47730"/>
    <w:rsid w:val="00B51C7F"/>
    <w:rsid w:val="00B75927"/>
    <w:rsid w:val="00B930BD"/>
    <w:rsid w:val="00BB15DD"/>
    <w:rsid w:val="00BB5A52"/>
    <w:rsid w:val="00BE2C98"/>
    <w:rsid w:val="00C13C61"/>
    <w:rsid w:val="00C46509"/>
    <w:rsid w:val="00C73E80"/>
    <w:rsid w:val="00C9627C"/>
    <w:rsid w:val="00CB0664"/>
    <w:rsid w:val="00CE5461"/>
    <w:rsid w:val="00D14772"/>
    <w:rsid w:val="00D66119"/>
    <w:rsid w:val="00D80479"/>
    <w:rsid w:val="00D87E27"/>
    <w:rsid w:val="00DE2FB6"/>
    <w:rsid w:val="00E17ADD"/>
    <w:rsid w:val="00E243F5"/>
    <w:rsid w:val="00E60142"/>
    <w:rsid w:val="00E73825"/>
    <w:rsid w:val="00E80286"/>
    <w:rsid w:val="00E96A17"/>
    <w:rsid w:val="00EE7BAE"/>
    <w:rsid w:val="00F15ACF"/>
    <w:rsid w:val="00F2397E"/>
    <w:rsid w:val="00F250DA"/>
    <w:rsid w:val="00F73B4F"/>
    <w:rsid w:val="00FC693F"/>
    <w:rsid w:val="00FE39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E293032"/>
  <w14:defaultImageDpi w14:val="300"/>
  <w15:docId w15:val="{979DDFCB-9271-47DC-BD5C-EA12122A1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697A24"/>
    <w:rPr>
      <w:color w:val="0000FF" w:themeColor="hyperlink"/>
      <w:u w:val="single"/>
    </w:rPr>
  </w:style>
  <w:style w:type="character" w:styleId="UnresolvedMention">
    <w:name w:val="Unresolved Mention"/>
    <w:basedOn w:val="DefaultParagraphFont"/>
    <w:uiPriority w:val="99"/>
    <w:semiHidden/>
    <w:unhideWhenUsed/>
    <w:rsid w:val="00697A24"/>
    <w:rPr>
      <w:color w:val="605E5C"/>
      <w:shd w:val="clear" w:color="auto" w:fill="E1DFDD"/>
    </w:rPr>
  </w:style>
  <w:style w:type="character" w:styleId="FollowedHyperlink">
    <w:name w:val="FollowedHyperlink"/>
    <w:basedOn w:val="DefaultParagraphFont"/>
    <w:uiPriority w:val="99"/>
    <w:semiHidden/>
    <w:unhideWhenUsed/>
    <w:rsid w:val="007E4A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90709">
      <w:bodyDiv w:val="1"/>
      <w:marLeft w:val="0"/>
      <w:marRight w:val="0"/>
      <w:marTop w:val="0"/>
      <w:marBottom w:val="0"/>
      <w:divBdr>
        <w:top w:val="none" w:sz="0" w:space="0" w:color="auto"/>
        <w:left w:val="none" w:sz="0" w:space="0" w:color="auto"/>
        <w:bottom w:val="none" w:sz="0" w:space="0" w:color="auto"/>
        <w:right w:val="none" w:sz="0" w:space="0" w:color="auto"/>
      </w:divBdr>
    </w:div>
    <w:div w:id="193618720">
      <w:bodyDiv w:val="1"/>
      <w:marLeft w:val="0"/>
      <w:marRight w:val="0"/>
      <w:marTop w:val="0"/>
      <w:marBottom w:val="0"/>
      <w:divBdr>
        <w:top w:val="none" w:sz="0" w:space="0" w:color="auto"/>
        <w:left w:val="none" w:sz="0" w:space="0" w:color="auto"/>
        <w:bottom w:val="none" w:sz="0" w:space="0" w:color="auto"/>
        <w:right w:val="none" w:sz="0" w:space="0" w:color="auto"/>
      </w:divBdr>
    </w:div>
    <w:div w:id="218909255">
      <w:bodyDiv w:val="1"/>
      <w:marLeft w:val="0"/>
      <w:marRight w:val="0"/>
      <w:marTop w:val="0"/>
      <w:marBottom w:val="0"/>
      <w:divBdr>
        <w:top w:val="none" w:sz="0" w:space="0" w:color="auto"/>
        <w:left w:val="none" w:sz="0" w:space="0" w:color="auto"/>
        <w:bottom w:val="none" w:sz="0" w:space="0" w:color="auto"/>
        <w:right w:val="none" w:sz="0" w:space="0" w:color="auto"/>
      </w:divBdr>
    </w:div>
    <w:div w:id="282998512">
      <w:bodyDiv w:val="1"/>
      <w:marLeft w:val="0"/>
      <w:marRight w:val="0"/>
      <w:marTop w:val="0"/>
      <w:marBottom w:val="0"/>
      <w:divBdr>
        <w:top w:val="none" w:sz="0" w:space="0" w:color="auto"/>
        <w:left w:val="none" w:sz="0" w:space="0" w:color="auto"/>
        <w:bottom w:val="none" w:sz="0" w:space="0" w:color="auto"/>
        <w:right w:val="none" w:sz="0" w:space="0" w:color="auto"/>
      </w:divBdr>
    </w:div>
    <w:div w:id="748428126">
      <w:bodyDiv w:val="1"/>
      <w:marLeft w:val="0"/>
      <w:marRight w:val="0"/>
      <w:marTop w:val="0"/>
      <w:marBottom w:val="0"/>
      <w:divBdr>
        <w:top w:val="none" w:sz="0" w:space="0" w:color="auto"/>
        <w:left w:val="none" w:sz="0" w:space="0" w:color="auto"/>
        <w:bottom w:val="none" w:sz="0" w:space="0" w:color="auto"/>
        <w:right w:val="none" w:sz="0" w:space="0" w:color="auto"/>
      </w:divBdr>
      <w:divsChild>
        <w:div w:id="778764626">
          <w:marLeft w:val="0"/>
          <w:marRight w:val="0"/>
          <w:marTop w:val="0"/>
          <w:marBottom w:val="0"/>
          <w:divBdr>
            <w:top w:val="none" w:sz="0" w:space="0" w:color="auto"/>
            <w:left w:val="none" w:sz="0" w:space="0" w:color="auto"/>
            <w:bottom w:val="none" w:sz="0" w:space="0" w:color="auto"/>
            <w:right w:val="none" w:sz="0" w:space="0" w:color="auto"/>
          </w:divBdr>
          <w:divsChild>
            <w:div w:id="1129201029">
              <w:marLeft w:val="0"/>
              <w:marRight w:val="0"/>
              <w:marTop w:val="0"/>
              <w:marBottom w:val="0"/>
              <w:divBdr>
                <w:top w:val="none" w:sz="0" w:space="0" w:color="auto"/>
                <w:left w:val="none" w:sz="0" w:space="0" w:color="auto"/>
                <w:bottom w:val="none" w:sz="0" w:space="0" w:color="auto"/>
                <w:right w:val="none" w:sz="0" w:space="0" w:color="auto"/>
              </w:divBdr>
              <w:divsChild>
                <w:div w:id="2103602198">
                  <w:marLeft w:val="0"/>
                  <w:marRight w:val="0"/>
                  <w:marTop w:val="0"/>
                  <w:marBottom w:val="0"/>
                  <w:divBdr>
                    <w:top w:val="none" w:sz="0" w:space="0" w:color="auto"/>
                    <w:left w:val="none" w:sz="0" w:space="0" w:color="auto"/>
                    <w:bottom w:val="none" w:sz="0" w:space="0" w:color="auto"/>
                    <w:right w:val="none" w:sz="0" w:space="0" w:color="auto"/>
                  </w:divBdr>
                  <w:divsChild>
                    <w:div w:id="1713312115">
                      <w:marLeft w:val="0"/>
                      <w:marRight w:val="0"/>
                      <w:marTop w:val="0"/>
                      <w:marBottom w:val="0"/>
                      <w:divBdr>
                        <w:top w:val="none" w:sz="0" w:space="0" w:color="auto"/>
                        <w:left w:val="none" w:sz="0" w:space="0" w:color="auto"/>
                        <w:bottom w:val="none" w:sz="0" w:space="0" w:color="auto"/>
                        <w:right w:val="none" w:sz="0" w:space="0" w:color="auto"/>
                      </w:divBdr>
                      <w:divsChild>
                        <w:div w:id="199366927">
                          <w:marLeft w:val="0"/>
                          <w:marRight w:val="0"/>
                          <w:marTop w:val="0"/>
                          <w:marBottom w:val="0"/>
                          <w:divBdr>
                            <w:top w:val="none" w:sz="0" w:space="0" w:color="auto"/>
                            <w:left w:val="none" w:sz="0" w:space="0" w:color="auto"/>
                            <w:bottom w:val="none" w:sz="0" w:space="0" w:color="auto"/>
                            <w:right w:val="none" w:sz="0" w:space="0" w:color="auto"/>
                          </w:divBdr>
                          <w:divsChild>
                            <w:div w:id="178356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3540863">
      <w:bodyDiv w:val="1"/>
      <w:marLeft w:val="0"/>
      <w:marRight w:val="0"/>
      <w:marTop w:val="0"/>
      <w:marBottom w:val="0"/>
      <w:divBdr>
        <w:top w:val="none" w:sz="0" w:space="0" w:color="auto"/>
        <w:left w:val="none" w:sz="0" w:space="0" w:color="auto"/>
        <w:bottom w:val="none" w:sz="0" w:space="0" w:color="auto"/>
        <w:right w:val="none" w:sz="0" w:space="0" w:color="auto"/>
      </w:divBdr>
    </w:div>
    <w:div w:id="1919561005">
      <w:bodyDiv w:val="1"/>
      <w:marLeft w:val="0"/>
      <w:marRight w:val="0"/>
      <w:marTop w:val="0"/>
      <w:marBottom w:val="0"/>
      <w:divBdr>
        <w:top w:val="none" w:sz="0" w:space="0" w:color="auto"/>
        <w:left w:val="none" w:sz="0" w:space="0" w:color="auto"/>
        <w:bottom w:val="none" w:sz="0" w:space="0" w:color="auto"/>
        <w:right w:val="none" w:sz="0" w:space="0" w:color="auto"/>
      </w:divBdr>
    </w:div>
    <w:div w:id="1974023435">
      <w:bodyDiv w:val="1"/>
      <w:marLeft w:val="0"/>
      <w:marRight w:val="0"/>
      <w:marTop w:val="0"/>
      <w:marBottom w:val="0"/>
      <w:divBdr>
        <w:top w:val="none" w:sz="0" w:space="0" w:color="auto"/>
        <w:left w:val="none" w:sz="0" w:space="0" w:color="auto"/>
        <w:bottom w:val="none" w:sz="0" w:space="0" w:color="auto"/>
        <w:right w:val="none" w:sz="0" w:space="0" w:color="auto"/>
      </w:divBdr>
      <w:divsChild>
        <w:div w:id="1570647733">
          <w:marLeft w:val="0"/>
          <w:marRight w:val="0"/>
          <w:marTop w:val="0"/>
          <w:marBottom w:val="0"/>
          <w:divBdr>
            <w:top w:val="none" w:sz="0" w:space="0" w:color="auto"/>
            <w:left w:val="none" w:sz="0" w:space="0" w:color="auto"/>
            <w:bottom w:val="none" w:sz="0" w:space="0" w:color="auto"/>
            <w:right w:val="none" w:sz="0" w:space="0" w:color="auto"/>
          </w:divBdr>
          <w:divsChild>
            <w:div w:id="486747038">
              <w:marLeft w:val="0"/>
              <w:marRight w:val="0"/>
              <w:marTop w:val="0"/>
              <w:marBottom w:val="0"/>
              <w:divBdr>
                <w:top w:val="none" w:sz="0" w:space="0" w:color="auto"/>
                <w:left w:val="none" w:sz="0" w:space="0" w:color="auto"/>
                <w:bottom w:val="none" w:sz="0" w:space="0" w:color="auto"/>
                <w:right w:val="none" w:sz="0" w:space="0" w:color="auto"/>
              </w:divBdr>
              <w:divsChild>
                <w:div w:id="1746418873">
                  <w:marLeft w:val="0"/>
                  <w:marRight w:val="0"/>
                  <w:marTop w:val="0"/>
                  <w:marBottom w:val="0"/>
                  <w:divBdr>
                    <w:top w:val="none" w:sz="0" w:space="0" w:color="auto"/>
                    <w:left w:val="none" w:sz="0" w:space="0" w:color="auto"/>
                    <w:bottom w:val="none" w:sz="0" w:space="0" w:color="auto"/>
                    <w:right w:val="none" w:sz="0" w:space="0" w:color="auto"/>
                  </w:divBdr>
                  <w:divsChild>
                    <w:div w:id="947153520">
                      <w:marLeft w:val="0"/>
                      <w:marRight w:val="0"/>
                      <w:marTop w:val="0"/>
                      <w:marBottom w:val="0"/>
                      <w:divBdr>
                        <w:top w:val="none" w:sz="0" w:space="0" w:color="auto"/>
                        <w:left w:val="none" w:sz="0" w:space="0" w:color="auto"/>
                        <w:bottom w:val="none" w:sz="0" w:space="0" w:color="auto"/>
                        <w:right w:val="none" w:sz="0" w:space="0" w:color="auto"/>
                      </w:divBdr>
                      <w:divsChild>
                        <w:div w:id="1081491865">
                          <w:marLeft w:val="0"/>
                          <w:marRight w:val="0"/>
                          <w:marTop w:val="0"/>
                          <w:marBottom w:val="0"/>
                          <w:divBdr>
                            <w:top w:val="none" w:sz="0" w:space="0" w:color="auto"/>
                            <w:left w:val="none" w:sz="0" w:space="0" w:color="auto"/>
                            <w:bottom w:val="none" w:sz="0" w:space="0" w:color="auto"/>
                            <w:right w:val="none" w:sz="0" w:space="0" w:color="auto"/>
                          </w:divBdr>
                          <w:divsChild>
                            <w:div w:id="90349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accppp.co.uk/submission-form/" TargetMode="Externa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cid:image002.jpg@01DC0781.6DE1752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mailto:accfinenquiry@lubs.leeds.ac.uk" TargetMode="Externa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cid:image010.png@01DC0782.B65B4550" TargetMode="External"/><Relationship Id="rId14" Type="http://schemas.openxmlformats.org/officeDocument/2006/relationships/hyperlink" Target="https://store.leeds.ac.uk/conferences-and-events/leeds-university-business-school/accounting-and-finance/meditari-2026-confer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952</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6373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AFAANZ Office</cp:lastModifiedBy>
  <cp:revision>2</cp:revision>
  <dcterms:created xsi:type="dcterms:W3CDTF">2025-10-30T02:41:00Z</dcterms:created>
  <dcterms:modified xsi:type="dcterms:W3CDTF">2025-10-30T02:41:00Z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3941e8dd-83a7-4c0d-9873-2de87b7d857d</vt:lpwstr>
  </property>
</Properties>
</file>